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FD" w:rsidRDefault="00E45EF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45EFD" w:rsidRDefault="00E45EFD">
      <w:pPr>
        <w:widowControl w:val="0"/>
        <w:autoSpaceDE w:val="0"/>
        <w:autoSpaceDN w:val="0"/>
        <w:adjustRightInd w:val="0"/>
        <w:spacing w:after="0" w:line="240" w:lineRule="auto"/>
        <w:jc w:val="both"/>
        <w:outlineLvl w:val="0"/>
        <w:rPr>
          <w:rFonts w:ascii="Calibri" w:hAnsi="Calibri" w:cs="Calibri"/>
        </w:rPr>
      </w:pPr>
    </w:p>
    <w:p w:rsidR="00E45EFD" w:rsidRDefault="00E45EF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45EFD" w:rsidRDefault="00E45EFD">
      <w:pPr>
        <w:widowControl w:val="0"/>
        <w:autoSpaceDE w:val="0"/>
        <w:autoSpaceDN w:val="0"/>
        <w:adjustRightInd w:val="0"/>
        <w:spacing w:after="0" w:line="240" w:lineRule="auto"/>
        <w:jc w:val="center"/>
        <w:rPr>
          <w:rFonts w:ascii="Calibri" w:hAnsi="Calibri" w:cs="Calibri"/>
          <w:b/>
          <w:bCs/>
        </w:rPr>
      </w:pP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октября 2014 г. N 1044</w:t>
      </w:r>
    </w:p>
    <w:p w:rsidR="00E45EFD" w:rsidRDefault="00E45EFD">
      <w:pPr>
        <w:widowControl w:val="0"/>
        <w:autoSpaceDE w:val="0"/>
        <w:autoSpaceDN w:val="0"/>
        <w:adjustRightInd w:val="0"/>
        <w:spacing w:after="0" w:line="240" w:lineRule="auto"/>
        <w:jc w:val="center"/>
        <w:rPr>
          <w:rFonts w:ascii="Calibri" w:hAnsi="Calibri" w:cs="Calibri"/>
          <w:b/>
          <w:bCs/>
        </w:rPr>
      </w:pP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ПРОГРАММЫ</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ИНВЕСТИЦИОННЫХ ПРОЕКТОВ, РЕАЛИЗУЕМЫХ</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 НА ОСНОВЕ</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6" w:history="1">
        <w:r>
          <w:rPr>
            <w:rFonts w:ascii="Calibri" w:hAnsi="Calibri" w:cs="Calibri"/>
            <w:color w:val="0000FF"/>
          </w:rPr>
          <w:t>Программу</w:t>
        </w:r>
      </w:hyperlink>
      <w:r>
        <w:rPr>
          <w:rFonts w:ascii="Calibri" w:hAnsi="Calibri" w:cs="Calibri"/>
        </w:rPr>
        <w:t xml:space="preserve"> поддержки инвестиционных проектов, реализуемых на территории Российской Федерации на основе 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экономического развития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ar36" w:history="1">
        <w:r>
          <w:rPr>
            <w:rFonts w:ascii="Calibri" w:hAnsi="Calibri" w:cs="Calibri"/>
            <w:color w:val="0000FF"/>
          </w:rPr>
          <w:t>Программе</w:t>
        </w:r>
      </w:hyperlink>
      <w:r>
        <w:rPr>
          <w:rFonts w:ascii="Calibri" w:hAnsi="Calibri" w:cs="Calibri"/>
        </w:rP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месячный срок утвердить:</w:t>
      </w:r>
    </w:p>
    <w:p w:rsidR="00E45EFD" w:rsidRDefault="00E45EFD">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порядок</w:t>
        </w:r>
      </w:hyperlink>
      <w:r>
        <w:rPr>
          <w:rFonts w:ascii="Calibri" w:hAnsi="Calibri" w:cs="Calibri"/>
        </w:rP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порядок</w:t>
        </w:r>
      </w:hyperlink>
      <w:r>
        <w:rPr>
          <w:rFonts w:ascii="Calibri" w:hAnsi="Calibri" w:cs="Calibri"/>
        </w:rPr>
        <w:t xml:space="preserve"> ведения перечня российских кредитных организаций и международных финансовых организаций, отобранных для участия в </w:t>
      </w:r>
      <w:hyperlink w:anchor="Par36" w:history="1">
        <w:r>
          <w:rPr>
            <w:rFonts w:ascii="Calibri" w:hAnsi="Calibri" w:cs="Calibri"/>
            <w:color w:val="0000FF"/>
          </w:rPr>
          <w:t>Программе</w:t>
        </w:r>
      </w:hyperlink>
      <w:r>
        <w:rPr>
          <w:rFonts w:ascii="Calibri" w:hAnsi="Calibri" w:cs="Calibri"/>
        </w:rP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финансов Российской Федерации - формы отчетов о ходе реализации инвестиционных проектов, отобранных для участия в </w:t>
      </w:r>
      <w:hyperlink w:anchor="Par36" w:history="1">
        <w:r>
          <w:rPr>
            <w:rFonts w:ascii="Calibri" w:hAnsi="Calibri" w:cs="Calibri"/>
            <w:color w:val="0000FF"/>
          </w:rPr>
          <w:t>Программе</w:t>
        </w:r>
      </w:hyperlink>
      <w:r>
        <w:rPr>
          <w:rFonts w:ascii="Calibri" w:hAnsi="Calibri" w:cs="Calibri"/>
        </w:rP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ar36" w:history="1">
        <w:r>
          <w:rPr>
            <w:rFonts w:ascii="Calibri" w:hAnsi="Calibri" w:cs="Calibri"/>
            <w:color w:val="0000FF"/>
          </w:rPr>
          <w:t>Программы</w:t>
        </w:r>
      </w:hyperlink>
      <w:r>
        <w:rPr>
          <w:rFonts w:ascii="Calibri" w:hAnsi="Calibri" w:cs="Calibri"/>
        </w:rPr>
        <w:t>, утвержденной настоящим постановлением (далее - Программа), на реализацию инвестиционных проектов.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конечными заемщиками в рамках </w:t>
      </w:r>
      <w:hyperlink w:anchor="Par36" w:history="1">
        <w:r>
          <w:rPr>
            <w:rFonts w:ascii="Calibri" w:hAnsi="Calibri" w:cs="Calibri"/>
            <w:color w:val="0000FF"/>
          </w:rPr>
          <w:t>Программы</w:t>
        </w:r>
      </w:hyperlink>
      <w:r>
        <w:rPr>
          <w:rFonts w:ascii="Calibri" w:hAnsi="Calibri" w:cs="Calibri"/>
        </w:rPr>
        <w:t>, а также по вопросам взыскания задолженности указанных лиц.</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ar36" w:history="1">
        <w:r>
          <w:rPr>
            <w:rFonts w:ascii="Calibri" w:hAnsi="Calibri" w:cs="Calibri"/>
            <w:color w:val="0000FF"/>
          </w:rPr>
          <w:t>Программы</w:t>
        </w:r>
      </w:hyperlink>
      <w:r>
        <w:rPr>
          <w:rFonts w:ascii="Calibri" w:hAnsi="Calibri" w:cs="Calibri"/>
        </w:rPr>
        <w:t>, в соответствии с актами Центрального банка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Д.МЕДВЕДЕВ</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Утверждена</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от 11 октября 2014 г. N 1044</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ПРОГРАММА</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ИНВЕСТИЦИОННЫХ ПРОЕКТОВ, РЕАЛИЗУЕМЫХ</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 НА ОСНОВЕ</w:t>
      </w:r>
    </w:p>
    <w:p w:rsidR="00E45EFD" w:rsidRDefault="00E45E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Программа устанавливает: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критерии и порядок отбора российских кредитных организаций и международных финансовых организаций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(далее - уполномоченные банки);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кредиты предоставляются в российских рублях;</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w:t>
      </w:r>
      <w:hyperlink r:id="rId8" w:history="1">
        <w:r>
          <w:rPr>
            <w:rFonts w:ascii="Calibri" w:hAnsi="Calibri" w:cs="Calibri"/>
            <w:color w:val="0000FF"/>
          </w:rPr>
          <w:t>ключевой ставки</w:t>
        </w:r>
      </w:hyperlink>
      <w:r>
        <w:rPr>
          <w:rFonts w:ascii="Calibri" w:hAnsi="Calibri" w:cs="Calibri"/>
        </w:rPr>
        <w:t xml:space="preserve"> Центрального банка Российской Федерации плюс 1 процент годовых;</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ключевой ставки Центрального банка Российской Федерации и в пределах ее изменения;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инвестиционных проектов могут привлекаться кредиты от различных уполномоченных банков.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образуемой при Министерстве экономического развития Российской Федерации </w:t>
      </w:r>
      <w:r>
        <w:rPr>
          <w:rFonts w:ascii="Calibri" w:hAnsi="Calibri" w:cs="Calibri"/>
        </w:rPr>
        <w:lastRenderedPageBreak/>
        <w:t xml:space="preserve">(далее - Межведомственная комиссия). </w:t>
      </w:r>
      <w:hyperlink r:id="rId9" w:history="1">
        <w:r>
          <w:rPr>
            <w:rFonts w:ascii="Calibri" w:hAnsi="Calibri" w:cs="Calibri"/>
            <w:color w:val="0000FF"/>
          </w:rPr>
          <w:t>Положение</w:t>
        </w:r>
      </w:hyperlink>
      <w:r>
        <w:rPr>
          <w:rFonts w:ascii="Calibri" w:hAnsi="Calibri" w:cs="Calibri"/>
        </w:rPr>
        <w:t xml:space="preserve"> о Межведомственной комиссии и ее состав утверждаются Правительством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отобранных для участия в настоящей Программе (далее - перечень уполномоченных банков), осуществляет Министерство экономического развития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Функции агента Правительства Российской Федерации, предусмотренные положениями </w:t>
      </w:r>
      <w:hyperlink w:anchor="Par120" w:history="1">
        <w:r>
          <w:rPr>
            <w:rFonts w:ascii="Calibri" w:hAnsi="Calibri" w:cs="Calibri"/>
            <w:color w:val="0000FF"/>
          </w:rPr>
          <w:t>пунктов 29</w:t>
        </w:r>
      </w:hyperlink>
      <w:r>
        <w:rPr>
          <w:rFonts w:ascii="Calibri" w:hAnsi="Calibri" w:cs="Calibri"/>
        </w:rPr>
        <w:t xml:space="preserve"> и </w:t>
      </w:r>
      <w:hyperlink w:anchor="Par161" w:history="1">
        <w:r>
          <w:rPr>
            <w:rFonts w:ascii="Calibri" w:hAnsi="Calibri" w:cs="Calibri"/>
            <w:color w:val="0000FF"/>
          </w:rPr>
          <w:t>53</w:t>
        </w:r>
      </w:hyperlink>
      <w:r>
        <w:rPr>
          <w:rFonts w:ascii="Calibri" w:hAnsi="Calibri" w:cs="Calibri"/>
        </w:rPr>
        <w:t xml:space="preserve"> настоящей Программы, осуществляет государственная корпорация "Банк развития и внешнеэкономической деятельности (Внешэкономбанк)".</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II. Критерии и порядок отбора российских кредитных</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и международных финансовых организаций</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9. Критериями отбора российской кредитной организации для участия в настоящей Программе в качестве уполномоченного банка являются: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собственных средств на последнюю отчетную дату в размере не менее 100 млрд. рублей;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10" w:history="1">
        <w:r>
          <w:rPr>
            <w:rFonts w:ascii="Calibri" w:hAnsi="Calibri" w:cs="Calibri"/>
            <w:color w:val="0000FF"/>
          </w:rPr>
          <w:t>частью 3 статьи 48</w:t>
        </w:r>
      </w:hyperlink>
      <w:r>
        <w:rPr>
          <w:rFonts w:ascii="Calibri" w:hAnsi="Calibri" w:cs="Calibri"/>
        </w:rPr>
        <w:t xml:space="preserve"> Федерального закона "О страховании вкладов физических лиц в банках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в) наличие опыта реализации не менее 10 инвестиционных проектов на протяжении последних 3 лет на сумму не менее 3 млрд. рублей каждый;</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10. Критериями отбора международной финансовой организации для участия в настоящей Программе в качестве уполномоченного банка являются: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опыта публичных размещений своих ценных бумаг на территории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уровня достаточности капитала на последнюю отчетную дату не ниже 20 процентов;</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опыта реализации не менее 3 инвестиционных проектов на протяжении последних 3 лет;</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Подтверждение соответствия российской кредитной организации критериям, </w:t>
      </w:r>
      <w:r>
        <w:rPr>
          <w:rFonts w:ascii="Calibri" w:hAnsi="Calibri" w:cs="Calibri"/>
        </w:rPr>
        <w:lastRenderedPageBreak/>
        <w:t xml:space="preserve">установленным </w:t>
      </w:r>
      <w:hyperlink w:anchor="Par66" w:history="1">
        <w:r>
          <w:rPr>
            <w:rFonts w:ascii="Calibri" w:hAnsi="Calibri" w:cs="Calibri"/>
            <w:color w:val="0000FF"/>
          </w:rPr>
          <w:t>подпунктами "в"</w:t>
        </w:r>
      </w:hyperlink>
      <w:r>
        <w:rPr>
          <w:rFonts w:ascii="Calibri" w:hAnsi="Calibri" w:cs="Calibri"/>
        </w:rPr>
        <w:t xml:space="preserve"> и </w:t>
      </w:r>
      <w:hyperlink w:anchor="Par67" w:history="1">
        <w:r>
          <w:rPr>
            <w:rFonts w:ascii="Calibri" w:hAnsi="Calibri" w:cs="Calibri"/>
            <w:color w:val="0000FF"/>
          </w:rPr>
          <w:t>"г" пункта 9</w:t>
        </w:r>
      </w:hyperlink>
      <w:r>
        <w:rPr>
          <w:rFonts w:ascii="Calibri" w:hAnsi="Calibri" w:cs="Calibri"/>
        </w:rPr>
        <w:t xml:space="preserve"> настоящей Программы, и соответствия международной финансовой организации критериям, установленным </w:t>
      </w:r>
      <w:hyperlink w:anchor="Par72" w:history="1">
        <w:r>
          <w:rPr>
            <w:rFonts w:ascii="Calibri" w:hAnsi="Calibri" w:cs="Calibri"/>
            <w:color w:val="0000FF"/>
          </w:rPr>
          <w:t>подпунктами "г</w:t>
        </w:r>
      </w:hyperlink>
      <w:r>
        <w:rPr>
          <w:rFonts w:ascii="Calibri" w:hAnsi="Calibri" w:cs="Calibri"/>
        </w:rPr>
        <w:t xml:space="preserve"> - </w:t>
      </w:r>
      <w:hyperlink w:anchor="Par74" w:history="1">
        <w:r>
          <w:rPr>
            <w:rFonts w:ascii="Calibri" w:hAnsi="Calibri" w:cs="Calibri"/>
            <w:color w:val="0000FF"/>
          </w:rPr>
          <w:t>е" пункта 10</w:t>
        </w:r>
      </w:hyperlink>
      <w:r>
        <w:rPr>
          <w:rFonts w:ascii="Calibri" w:hAnsi="Calibri" w:cs="Calibri"/>
        </w:rPr>
        <w:t xml:space="preserve"> настоящей Программы, оформляется на бланке соответствующей организации с приложением информации о реализованных инвестиционных проектах и копии положения о соответствующем структурном подразделении и подписывается (заверяется) уполномоченным лицом организации.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1" w:name="Par77"/>
      <w:bookmarkEnd w:id="11"/>
      <w:r>
        <w:rPr>
          <w:rFonts w:ascii="Calibri" w:hAnsi="Calibri" w:cs="Calibri"/>
        </w:rP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Российские кредитные организации и международные финансовые организации, намеренные участвовать в настоящей Программе, в течение 30 календарных дней со дня размещения уведомления, указанного в </w:t>
      </w:r>
      <w:hyperlink w:anchor="Par77" w:history="1">
        <w:r>
          <w:rPr>
            <w:rFonts w:ascii="Calibri" w:hAnsi="Calibri" w:cs="Calibri"/>
            <w:color w:val="0000FF"/>
          </w:rPr>
          <w:t>пункте 13</w:t>
        </w:r>
      </w:hyperlink>
      <w:r>
        <w:rPr>
          <w:rFonts w:ascii="Calibri" w:hAnsi="Calibri" w:cs="Calibri"/>
        </w:rP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ar63" w:history="1">
        <w:r>
          <w:rPr>
            <w:rFonts w:ascii="Calibri" w:hAnsi="Calibri" w:cs="Calibri"/>
            <w:color w:val="0000FF"/>
          </w:rPr>
          <w:t>пунктами 9</w:t>
        </w:r>
      </w:hyperlink>
      <w:r>
        <w:rPr>
          <w:rFonts w:ascii="Calibri" w:hAnsi="Calibri" w:cs="Calibri"/>
        </w:rPr>
        <w:t xml:space="preserve"> и </w:t>
      </w:r>
      <w:hyperlink w:anchor="Par68" w:history="1">
        <w:r>
          <w:rPr>
            <w:rFonts w:ascii="Calibri" w:hAnsi="Calibri" w:cs="Calibri"/>
            <w:color w:val="0000FF"/>
          </w:rPr>
          <w:t>10</w:t>
        </w:r>
      </w:hyperlink>
      <w:r>
        <w:rPr>
          <w:rFonts w:ascii="Calibri" w:hAnsi="Calibri" w:cs="Calibri"/>
        </w:rPr>
        <w:t xml:space="preserve"> настоящей Программы. Указанные документы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этой российской кредитной организации или международной финансовой организации.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ar63" w:history="1">
        <w:r>
          <w:rPr>
            <w:rFonts w:ascii="Calibri" w:hAnsi="Calibri" w:cs="Calibri"/>
            <w:color w:val="0000FF"/>
          </w:rPr>
          <w:t>пунктами 9</w:t>
        </w:r>
      </w:hyperlink>
      <w:r>
        <w:rPr>
          <w:rFonts w:ascii="Calibri" w:hAnsi="Calibri" w:cs="Calibri"/>
        </w:rPr>
        <w:t xml:space="preserve"> и </w:t>
      </w:r>
      <w:hyperlink w:anchor="Par68" w:history="1">
        <w:r>
          <w:rPr>
            <w:rFonts w:ascii="Calibri" w:hAnsi="Calibri" w:cs="Calibri"/>
            <w:color w:val="0000FF"/>
          </w:rPr>
          <w:t>10</w:t>
        </w:r>
      </w:hyperlink>
      <w:r>
        <w:rPr>
          <w:rFonts w:ascii="Calibri" w:hAnsi="Calibri" w:cs="Calibri"/>
        </w:rP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оформляется протоколом.</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Критерии отбора инвестиционных проектов</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3" w:name="Par88"/>
      <w:bookmarkEnd w:id="13"/>
      <w:r>
        <w:rPr>
          <w:rFonts w:ascii="Calibri" w:hAnsi="Calibri" w:cs="Calibri"/>
        </w:rPr>
        <w:lastRenderedPageBreak/>
        <w:t>20. Критериями отбора инвестиционных проектов для участия в настоящей Программе являются: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инвестиционного проекта на основе 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расположение на территории Российской Федерации производственной площадки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реализация инвестиционного проекта в секторе экономики, являющемся приоритетным для развития экономики Российской Федерации в соответствии с </w:t>
      </w:r>
      <w:hyperlink r:id="rId11" w:history="1">
        <w:r>
          <w:rPr>
            <w:rFonts w:ascii="Calibri" w:hAnsi="Calibri" w:cs="Calibri"/>
            <w:color w:val="0000FF"/>
          </w:rPr>
          <w:t>Основными направлениями</w:t>
        </w:r>
      </w:hyperlink>
      <w:r>
        <w:rPr>
          <w:rFonts w:ascii="Calibri" w:hAnsi="Calibri" w:cs="Calibri"/>
        </w:rPr>
        <w:t xml:space="preserve"> деятельности Правительства Российской Федерации на период до 2018 года;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финансирование не более 80 процентов полной стоимости инвестиционного проекта за счет заемных средств;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разрешения на строительство (в случае осуществления строительных работ в рамках реализации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4" w:name="Par95"/>
      <w:bookmarkEnd w:id="14"/>
      <w:r>
        <w:rPr>
          <w:rFonts w:ascii="Calibri" w:hAnsi="Calibri" w:cs="Calibri"/>
        </w:rP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5" w:name="Par96"/>
      <w:bookmarkEnd w:id="15"/>
      <w:r>
        <w:rPr>
          <w:rFonts w:ascii="Calibri" w:hAnsi="Calibri" w:cs="Calibri"/>
        </w:rPr>
        <w:t>22. Лицо, представляющее в уполномоченный банк документы по инвестиционному проекту (далее - инициатор инвестиционного проекта), и конечный заемщик должны отвечать следующим требованиям:</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статуса юридического лица, зарегистрированного на территории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12" w:history="1">
        <w:r>
          <w:rPr>
            <w:rFonts w:ascii="Calibri" w:hAnsi="Calibri" w:cs="Calibri"/>
            <w:color w:val="0000FF"/>
          </w:rPr>
          <w:t>перечень</w:t>
        </w:r>
      </w:hyperlink>
      <w:r>
        <w:rPr>
          <w:rFonts w:ascii="Calibri" w:hAnsi="Calibri" w:cs="Calibri"/>
        </w:rPr>
        <w:t xml:space="preserve"> которых утверждается Министерством финансов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инвестиционного проекта и конечный заемщик могут быть одним и тем же лицом.</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6" w:name="Par102"/>
      <w:bookmarkEnd w:id="16"/>
      <w:r>
        <w:rPr>
          <w:rFonts w:ascii="Calibri" w:hAnsi="Calibri" w:cs="Calibri"/>
        </w:rP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outlineLvl w:val="1"/>
        <w:rPr>
          <w:rFonts w:ascii="Calibri" w:hAnsi="Calibri" w:cs="Calibri"/>
        </w:rPr>
      </w:pPr>
      <w:bookmarkStart w:id="17" w:name="Par105"/>
      <w:bookmarkEnd w:id="17"/>
      <w:r>
        <w:rPr>
          <w:rFonts w:ascii="Calibri" w:hAnsi="Calibri" w:cs="Calibri"/>
        </w:rPr>
        <w:t>IV. Порядок отбора инвестиционных проектов</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Отбор инвестиционных проектов для участия в настоящей Программе осуществляется Межведомственной комиссией.</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8" w:name="Par108"/>
      <w:bookmarkEnd w:id="18"/>
      <w:r>
        <w:rPr>
          <w:rFonts w:ascii="Calibri" w:hAnsi="Calibri" w:cs="Calibri"/>
        </w:rP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Уполномоченный банк:</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рассматривает документы по инвестиционному проекту, представленные инициатором инвестиционного проекта в соответствии с </w:t>
      </w:r>
      <w:hyperlink w:anchor="Par108" w:history="1">
        <w:r>
          <w:rPr>
            <w:rFonts w:ascii="Calibri" w:hAnsi="Calibri" w:cs="Calibri"/>
            <w:color w:val="0000FF"/>
          </w:rPr>
          <w:t>пунктом 26</w:t>
        </w:r>
      </w:hyperlink>
      <w:r>
        <w:rPr>
          <w:rFonts w:ascii="Calibri" w:hAnsi="Calibri" w:cs="Calibri"/>
        </w:rPr>
        <w:t xml:space="preserve"> настоящей Программы, в сроки, </w:t>
      </w:r>
      <w:r>
        <w:rPr>
          <w:rFonts w:ascii="Calibri" w:hAnsi="Calibri" w:cs="Calibri"/>
        </w:rPr>
        <w:lastRenderedPageBreak/>
        <w:t>установленные внутренними документами уполномоченного банка;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проводит проверку инвестиционного проекта на соответствие критериям, установленным </w:t>
      </w:r>
      <w:hyperlink w:anchor="Par88" w:history="1">
        <w:r>
          <w:rPr>
            <w:rFonts w:ascii="Calibri" w:hAnsi="Calibri" w:cs="Calibri"/>
            <w:color w:val="0000FF"/>
          </w:rPr>
          <w:t>пунктом 20</w:t>
        </w:r>
      </w:hyperlink>
      <w:r>
        <w:rPr>
          <w:rFonts w:ascii="Calibri" w:hAnsi="Calibri" w:cs="Calibri"/>
        </w:rPr>
        <w:t xml:space="preserve"> настоящей Программы, а также дополнительным требованиям, установленным уполномоченным банком в соответствии с </w:t>
      </w:r>
      <w:hyperlink w:anchor="Par95" w:history="1">
        <w:r>
          <w:rPr>
            <w:rFonts w:ascii="Calibri" w:hAnsi="Calibri" w:cs="Calibri"/>
            <w:color w:val="0000FF"/>
          </w:rPr>
          <w:t>пунктом 21</w:t>
        </w:r>
      </w:hyperlink>
      <w:r>
        <w:rPr>
          <w:rFonts w:ascii="Calibri" w:hAnsi="Calibri" w:cs="Calibri"/>
        </w:rPr>
        <w:t xml:space="preserve"> настоящей Программы;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проводит проверку инициатора инвестиционного проекта и конечного заемщика на соответствие требованиям, установленным </w:t>
      </w:r>
      <w:hyperlink w:anchor="Par96" w:history="1">
        <w:r>
          <w:rPr>
            <w:rFonts w:ascii="Calibri" w:hAnsi="Calibri" w:cs="Calibri"/>
            <w:color w:val="0000FF"/>
          </w:rPr>
          <w:t>пунктом 22</w:t>
        </w:r>
      </w:hyperlink>
      <w:r>
        <w:rPr>
          <w:rFonts w:ascii="Calibri" w:hAnsi="Calibri" w:cs="Calibri"/>
        </w:rPr>
        <w:t xml:space="preserve"> настоящей Программы, а также конечного заемщика - дополнительным требованиям, установленным уполномоченным банком в соответствии с </w:t>
      </w:r>
      <w:hyperlink w:anchor="Par102" w:history="1">
        <w:r>
          <w:rPr>
            <w:rFonts w:ascii="Calibri" w:hAnsi="Calibri" w:cs="Calibri"/>
            <w:color w:val="0000FF"/>
          </w:rPr>
          <w:t>пунктом 23</w:t>
        </w:r>
      </w:hyperlink>
      <w:r>
        <w:rPr>
          <w:rFonts w:ascii="Calibri" w:hAnsi="Calibri" w:cs="Calibri"/>
        </w:rPr>
        <w:t xml:space="preserve"> настоящей Программы;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19" w:name="Par115"/>
      <w:bookmarkEnd w:id="19"/>
      <w:r>
        <w:rPr>
          <w:rFonts w:ascii="Calibri" w:hAnsi="Calibri" w:cs="Calibri"/>
        </w:rP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ar202" w:history="1">
        <w:r>
          <w:rPr>
            <w:rFonts w:ascii="Calibri" w:hAnsi="Calibri" w:cs="Calibri"/>
            <w:color w:val="0000FF"/>
          </w:rPr>
          <w:t>приложению N 1</w:t>
        </w:r>
      </w:hyperlink>
      <w:r>
        <w:rPr>
          <w:rFonts w:ascii="Calibri" w:hAnsi="Calibri" w:cs="Calibri"/>
        </w:rPr>
        <w:t xml:space="preserve"> (далее - перечень), а также паспорт инвестиционного проекта по форме согласно </w:t>
      </w:r>
      <w:hyperlink w:anchor="Par236" w:history="1">
        <w:r>
          <w:rPr>
            <w:rFonts w:ascii="Calibri" w:hAnsi="Calibri" w:cs="Calibri"/>
            <w:color w:val="0000FF"/>
          </w:rPr>
          <w:t>приложению N 2</w:t>
        </w:r>
      </w:hyperlink>
      <w:r>
        <w:rPr>
          <w:rFonts w:ascii="Calibri" w:hAnsi="Calibri" w:cs="Calibri"/>
        </w:rPr>
        <w:t xml:space="preserve"> (далее - паспорт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представляемые в рабочий орган Межведомственной комиссии, должны быть прошиты (каждый отдельно), подписаны или заверены (за исключением нотариально заверенных копий) уполномоченным лицом инициатора инвестиционного проекта, подпись которого должна быть скреплена печатью инициатора инвестиционного проекта. Документы и иные материалы, представленные в рабочий орган Межведомственной комиссии, возврату не подлежат.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документы, указанные в </w:t>
      </w:r>
      <w:hyperlink w:anchor="Par209" w:history="1">
        <w:r>
          <w:rPr>
            <w:rFonts w:ascii="Calibri" w:hAnsi="Calibri" w:cs="Calibri"/>
            <w:color w:val="0000FF"/>
          </w:rPr>
          <w:t>пунктах 2</w:t>
        </w:r>
      </w:hyperlink>
      <w:r>
        <w:rPr>
          <w:rFonts w:ascii="Calibri" w:hAnsi="Calibri" w:cs="Calibri"/>
        </w:rPr>
        <w:t xml:space="preserve"> - </w:t>
      </w:r>
      <w:hyperlink w:anchor="Par211" w:history="1">
        <w:r>
          <w:rPr>
            <w:rFonts w:ascii="Calibri" w:hAnsi="Calibri" w:cs="Calibri"/>
            <w:color w:val="0000FF"/>
          </w:rPr>
          <w:t>4</w:t>
        </w:r>
      </w:hyperlink>
      <w:r>
        <w:rPr>
          <w:rFonts w:ascii="Calibri" w:hAnsi="Calibri" w:cs="Calibri"/>
        </w:rPr>
        <w:t xml:space="preserve"> перечня, заверяются нотариально в одном экземпляре, другие экземпляры этих документов могут быть заверены уполномоченным лицом инициатора инвестиционного проекта, подпись которого должна быть скреплена печатью инициатора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 перечню, а также паспорт инвестиционного проекта представляются в количестве экземпляров, соответствующем числу членов Межведомственной комиссии.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рабочий орган Межведомственной комиссии представляется один экземпляр документов по перечню в целях его последующего представления рабочим органом Межведомственной комиссии агенту Правительства Российской Федерации в течение 2 рабочих дней со дня получения от уполномоченного банка.</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0" w:name="Par120"/>
      <w:bookmarkEnd w:id="20"/>
      <w:r>
        <w:rPr>
          <w:rFonts w:ascii="Calibri" w:hAnsi="Calibri" w:cs="Calibri"/>
        </w:rPr>
        <w:t>29. Агент Правительства Российской Федерации в течение 10 рабочих дней со дня получения от рабочего органа Межведомственной комиссии документов по перечню проводит проверку документов на предмет их соответствия перечню, проверку сведений о том, что в отношении конечного заемщика не возбуждено производство по делу о несостоятельности (банкротстве) и что конечный заемщик не находится в процессе реорганизации или ликвидации, и дает соответствующее заключение.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Рабочий орган Межведомственной комиссии: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 в течение 3 рабочих дней со дня получения от уполномоченного банка документов в соответствии с </w:t>
      </w:r>
      <w:hyperlink w:anchor="Par115" w:history="1">
        <w:r>
          <w:rPr>
            <w:rFonts w:ascii="Calibri" w:hAnsi="Calibri" w:cs="Calibri"/>
            <w:color w:val="0000FF"/>
          </w:rPr>
          <w:t>пунктом 28</w:t>
        </w:r>
      </w:hyperlink>
      <w:r>
        <w:rPr>
          <w:rFonts w:ascii="Calibri" w:hAnsi="Calibri" w:cs="Calibri"/>
        </w:rPr>
        <w:t xml:space="preserve"> настоящей Программы проверку их соответствия перечню, а также проверку наличия паспорта инвестиционного проекта, и в случае наличия полного комплекта указанных документов направляет их на рассмотрение членам Межведомственной комиссии, а также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 с указанием предварительной даты заседания Межведомственной комиссии;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1" w:name="Par123"/>
      <w:bookmarkEnd w:id="21"/>
      <w:r>
        <w:rPr>
          <w:rFonts w:ascii="Calibri" w:hAnsi="Calibri" w:cs="Calibri"/>
        </w:rPr>
        <w:t xml:space="preserve">б) запрашивает у уполномоченного банка в случае непредставления им полного комплекта </w:t>
      </w:r>
      <w:r>
        <w:rPr>
          <w:rFonts w:ascii="Calibri" w:hAnsi="Calibri" w:cs="Calibri"/>
        </w:rPr>
        <w:lastRenderedPageBreak/>
        <w:t>документов по перечню, а также паспорта инвестиционного проекта недостающие документы;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ar123" w:history="1">
        <w:r>
          <w:rPr>
            <w:rFonts w:ascii="Calibri" w:hAnsi="Calibri" w:cs="Calibri"/>
            <w:color w:val="0000FF"/>
          </w:rPr>
          <w:t>подпунктом "б"</w:t>
        </w:r>
      </w:hyperlink>
      <w:r>
        <w:rPr>
          <w:rFonts w:ascii="Calibri" w:hAnsi="Calibri" w:cs="Calibri"/>
        </w:rPr>
        <w:t xml:space="preserve"> настоящего пункта, недостающих документов;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возвращает уполномоченному банку документы, представленные в соответствии с </w:t>
      </w:r>
      <w:hyperlink w:anchor="Par115" w:history="1">
        <w:r>
          <w:rPr>
            <w:rFonts w:ascii="Calibri" w:hAnsi="Calibri" w:cs="Calibri"/>
            <w:color w:val="0000FF"/>
          </w:rPr>
          <w:t>пунктом 28</w:t>
        </w:r>
      </w:hyperlink>
      <w:r>
        <w:rPr>
          <w:rFonts w:ascii="Calibri" w:hAnsi="Calibri" w:cs="Calibri"/>
        </w:rP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принимает решение о целесообразности проведения заседания Межведомственной комиссии по итогам получения заключения агента Правительства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2" w:name="Par127"/>
      <w:bookmarkEnd w:id="22"/>
      <w:r>
        <w:rPr>
          <w:rFonts w:ascii="Calibri" w:hAnsi="Calibri" w:cs="Calibri"/>
        </w:rPr>
        <w:t>31. Заинтересованный федеральный орган представляет в Межведомственную комиссию позицию о целесообразности участия инвестиционного проекта в настоящей Программе не позднее 10 рабочих дней со дня получения документов от Межведомственной комиссии.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заинтересованным федеральным органом в Межведомственную комиссию соответствующей позиции в указанный срок считается, что у заинтересованного федерального органа отсутствуют возражения в отношении участия инвестиционного проекта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ar127" w:history="1">
        <w:r>
          <w:rPr>
            <w:rFonts w:ascii="Calibri" w:hAnsi="Calibri" w:cs="Calibri"/>
            <w:color w:val="0000FF"/>
          </w:rPr>
          <w:t>пунктом 31</w:t>
        </w:r>
      </w:hyperlink>
      <w:r>
        <w:rPr>
          <w:rFonts w:ascii="Calibri" w:hAnsi="Calibri" w:cs="Calibri"/>
        </w:rP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представления агентом Правительства Российской Федерации отрицательного заключения уполномоченный банк вправе после устранения выявленных несоответствий повторно представить в рабочий орган Межведомственной комиссии документы в соответствии с </w:t>
      </w:r>
      <w:hyperlink w:anchor="Par115" w:history="1">
        <w:r>
          <w:rPr>
            <w:rFonts w:ascii="Calibri" w:hAnsi="Calibri" w:cs="Calibri"/>
            <w:color w:val="0000FF"/>
          </w:rPr>
          <w:t>пунктом 28</w:t>
        </w:r>
      </w:hyperlink>
      <w:r>
        <w:rPr>
          <w:rFonts w:ascii="Calibri" w:hAnsi="Calibri" w:cs="Calibri"/>
        </w:rPr>
        <w:t xml:space="preserve"> настоящей Программы, но не ранее, чем через один месяц со дня последнего представления документов.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представления агентом Правительства Российской Федерации положительного заключения Межведомственная комиссия проводит заседание, по итогам которого принимает решение об отборе инвестиционного проекта либо решение об отказе в участии инвестиционного проекта в настоящей Программе.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Межведомственной комиссией принято решение об отборе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протокол заседания Межведомственной комиссии направляется в Министерство финансов Российской Федерации для заключения договора о предоставлении гарантии в соответствии с </w:t>
      </w:r>
      <w:hyperlink w:anchor="Par149" w:history="1">
        <w:r>
          <w:rPr>
            <w:rFonts w:ascii="Calibri" w:hAnsi="Calibri" w:cs="Calibri"/>
            <w:color w:val="0000FF"/>
          </w:rPr>
          <w:t>пунктом 45</w:t>
        </w:r>
      </w:hyperlink>
      <w:r>
        <w:rPr>
          <w:rFonts w:ascii="Calibri" w:hAnsi="Calibri" w:cs="Calibri"/>
        </w:rPr>
        <w:t xml:space="preserve"> настоящей Программы;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информацию о принятом решении об отборе инвестиционного проекта и указание о необходимости предоставления в Министерство финансов Российской Федерации в течение 3 рабочих дней со дня получения указанного решения Межведомственной комиссии документов, предусмотренных </w:t>
      </w:r>
      <w:hyperlink w:anchor="Par150" w:history="1">
        <w:r>
          <w:rPr>
            <w:rFonts w:ascii="Calibri" w:hAnsi="Calibri" w:cs="Calibri"/>
            <w:color w:val="0000FF"/>
          </w:rPr>
          <w:t>пунктом 46</w:t>
        </w:r>
      </w:hyperlink>
      <w:r>
        <w:rPr>
          <w:rFonts w:ascii="Calibri" w:hAnsi="Calibri" w:cs="Calibri"/>
        </w:rPr>
        <w:t xml:space="preserve"> настоящей Программы.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 с указанием причин отказа.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outlineLvl w:val="1"/>
        <w:rPr>
          <w:rFonts w:ascii="Calibri" w:hAnsi="Calibri" w:cs="Calibri"/>
        </w:rPr>
      </w:pPr>
      <w:bookmarkStart w:id="23" w:name="Par138"/>
      <w:bookmarkEnd w:id="23"/>
      <w:r>
        <w:rPr>
          <w:rFonts w:ascii="Calibri" w:hAnsi="Calibri" w:cs="Calibri"/>
        </w:rPr>
        <w:t>V. Порядок и условия предоставления гарантий</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Настоящий раздел устанавливает порядок и условия предоставления гарантий по кредитам, выданным конечным заемщикам (далее - принципалы) в целях реализации инвестиционных проектов, отобранных для участия в настоящей Программе, а также порядок и условия исполнения обязательств по гарантиям.</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Гарантия предоставляется в обеспечение исполнения обязательств принципала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процентов указанных обязательств.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Гарантия не предоставляется в обеспечение исполнения иных обязательств принципала по кредиту (кредитному договору), в том числе по досрочному исполнению обязательств по возврату суммы кредита (погашению основного долга), за исключением случая, предусмотренного </w:t>
      </w:r>
      <w:hyperlink w:anchor="Par183" w:history="1">
        <w:r>
          <w:rPr>
            <w:rFonts w:ascii="Calibri" w:hAnsi="Calibri" w:cs="Calibri"/>
            <w:color w:val="0000FF"/>
          </w:rPr>
          <w:t>пунктом 61</w:t>
        </w:r>
      </w:hyperlink>
      <w:r>
        <w:rPr>
          <w:rFonts w:ascii="Calibri" w:hAnsi="Calibri" w:cs="Calibri"/>
        </w:rPr>
        <w:t xml:space="preserve"> настоящей Программы, по уплате процентов за пользование кредитом и иных процентов по кредитному договору, комиссий, неустойки (пеней, штрафов), а также ответственности принципала за неисполнение или ненадлежащее исполнение обязательств по кредитному договору и причинение убытков.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Гарантия предоставляется в валюте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дней.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вступает в силу со дня ее подписания.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Гарантия предоставляется без взимания вознаграждения гаранта.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гарантии Российская Федерация несет солидарную ответственность перед кредиторами по обязательствам принципала, обеспеченным гарантией.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одним принципалом на осуществление (финансирование) одного инвестиционного проекта, отобранного для участия в настоящей Программе, привлекаются несколько кредитов, гарантия предоставляется в обеспечение исполнения обязательств принципала отдельно по каждому кредиту.</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4" w:name="Par149"/>
      <w:bookmarkEnd w:id="24"/>
      <w:r>
        <w:rPr>
          <w:rFonts w:ascii="Calibri" w:hAnsi="Calibri" w:cs="Calibri"/>
        </w:rPr>
        <w:t>45. Договор о предоставлении гарантии заключается Министерством финансов Российской Федерации на основании решения об отборе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5" w:name="Par150"/>
      <w:bookmarkEnd w:id="25"/>
      <w:r>
        <w:rPr>
          <w:rFonts w:ascii="Calibri" w:hAnsi="Calibri" w:cs="Calibri"/>
        </w:rPr>
        <w:t>46. Уполномоченный банк, предоставляющий кредит принципалу (далее - кредитор), в течение 5 рабочих дней со дня получения копии протокола заседания Межведомственной комиссии с решением об отборе инвестиционного проекта представляет в Министерство финансов Российской Федерации документы по перечню, а также нотариально заверенную копию кредитного договора, заключенного с принципалом, со всеми приложениями и изменениями.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представляемые в Министерство финансов Российской Федерации, прошиваются (каждый отдельно), подписываются или заверяются (за исключением нотариально заверенных копий) уполномоченным лицом принципала, подпись которого должна быть скреплена печатью принципала.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полученные Министерством финансов Российской Федерации в соответствии с настоящим пунктом, возврату не подлежат.</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Министерство финансов Российской Федерации в соответствии с решением об отборе инвестиционного проекта в течение 7 рабочих дней со дня получения указанного решения, полного комплекта документов, представленных в соответствии с </w:t>
      </w:r>
      <w:hyperlink w:anchor="Par150" w:history="1">
        <w:r>
          <w:rPr>
            <w:rFonts w:ascii="Calibri" w:hAnsi="Calibri" w:cs="Calibri"/>
            <w:color w:val="0000FF"/>
          </w:rPr>
          <w:t>пунктом 46</w:t>
        </w:r>
      </w:hyperlink>
      <w:r>
        <w:rPr>
          <w:rFonts w:ascii="Calibri" w:hAnsi="Calibri" w:cs="Calibri"/>
        </w:rPr>
        <w:t xml:space="preserve"> настоящей Программы, на основании заключения агента Правительства Российской Федерации, представленного в соответствии с </w:t>
      </w:r>
      <w:hyperlink w:anchor="Par120" w:history="1">
        <w:r>
          <w:rPr>
            <w:rFonts w:ascii="Calibri" w:hAnsi="Calibri" w:cs="Calibri"/>
            <w:color w:val="0000FF"/>
          </w:rPr>
          <w:t>пунктом 29</w:t>
        </w:r>
      </w:hyperlink>
      <w:r>
        <w:rPr>
          <w:rFonts w:ascii="Calibri" w:hAnsi="Calibri" w:cs="Calibri"/>
        </w:rPr>
        <w:t xml:space="preserve"> настоящей Программы, заключает договор о предоставлении гарантии.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гарантии анализ финансового состояния принципала Министерством финансов Российской Федерации не осуществляется.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Решение о предоставлении гарантии и заключении договора о предоставлении гарантии оформляется приказом Министерства финансов Российской Федерации, копии которого направляются в Межведомственную комиссию, кредитору, принципалу и агенту Правительства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Кредиты, обеспеченные гарантиями, являются целевыми и направляются исключительно на осуществление (финансирование) принципалами инвестиционных проектов.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кредитных средств, обеспеченных гарантиями, за исполнением принципалами обязательств по кредитам осуществляет кредитор в соответствии со своими внутренними документами.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Отчеты об использовании, обслуживании и погашении принципалами кредитов, обеспеченных гарантиями, с информацией о фактах их нецелевого использования и об исполнении принципалами обязательств по кредитам представляются кредитором в Министерство экономического развития Российской Федерации и Министерство финансов Российской Федерации ежеквартально, не позднее 20-го числа месяца, следующего за отчетным кварталом, по формам, устанавливаемым Министерством экономического развития Российской Федерации по согласованию с Министерством финансов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установления фактов нецелевого использования кредитов, обеспеченных гарантиями, в отчете кредитора указываются размер средств, направленных на нецелевое использование, и календарный период их нецелевого использования.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Принципал несет ответственность за нецелевое использование кредита, обеспеченного гарантией.</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6" w:name="Par161"/>
      <w:bookmarkEnd w:id="26"/>
      <w:r>
        <w:rPr>
          <w:rFonts w:ascii="Calibri" w:hAnsi="Calibri" w:cs="Calibri"/>
        </w:rPr>
        <w:t>53. По поручению Министерства финансов Российской Федерации агент Правительства Российской Федерации от имени и в интересах Российской Федерации в лице Министерства финансов Российской Федерации осуществляет следующие функции: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ведение аналитического учета предоставленных гарантий, обязательств принципалов и иных лиц в связи с предоставлением и исполнением гарантий;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предъявленных Российской Федерации в лице Министерства финансов Российской Федерации требований кредиторов об исполнении гарантий и прилагаемых к ним документов на предмет обоснованности и соответствия указанных требований и прилагаемых к ним документов условиям гарантий, а также подготовка и представление в Министерство финансов Российской Федерации соответствующих заключений;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предъявление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мониторинг (анализ) финансового состояния принципалов после предоставления гарантий в течение срока действия гарантий и договоров о предоставлении гарантий, подготовка и представление в Министерство финансов Российской Федерации соответствующих заключений;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мер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договоре о предоставлении гарантии, заключаемом Министерством финансов Российской Федерации с кредитором, принципалом и агентом Правительства Российской Федерации, в том числе указываются: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предоставления и исполнения гарантии;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права и обязанности сторон;</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(сумма) обязательств принципала по кредитному договору, подлежащих обеспечению гарантией;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сокращения предельной суммы гарантии при исполнении гарантии Министерством финансов Российской Федерации, а также при исполнении принципалом и (или) третьими лицами обязательств принципала, обеспеченных гарантией;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обязательства кредитора представлять в Министерство финансов Российской Федерации сведения (отчеты) о целевом использовании кредита и об исполнении принципалом обязательств по кредитному договору;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меры ответственности принципала за нецелевое использование кредита;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право Министерства финансов Российской Федерации в одностороннем порядке расторгнуть договор о предоставлении гарантии и отозвать гарантию в случае внесения не согласованных с ним изменений в кредитный договор в части, подлежащей обязательному согласованию с Министерством финансов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7" w:name="Par176"/>
      <w:bookmarkEnd w:id="27"/>
      <w:r>
        <w:rPr>
          <w:rFonts w:ascii="Calibri" w:hAnsi="Calibri" w:cs="Calibri"/>
        </w:rPr>
        <w:t>55. Внесение изменений в кредитный договор должно быть согласовано кредитором с Министерством финансов Российской Федерации исключительно в той части, нормы которой непосредственно влияют на параметры предоставленной гарантии (сумма кредита, срок кредитования, процентная ставка, график погашения основного долга принципала по кредитному договору).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Гарантийный случай по гарантии наступает при неисполнении принципалом обязательств перед кредитором по возврату суммы кредита (погашению основного долга), в том числе в случае, предусмотренном </w:t>
      </w:r>
      <w:hyperlink w:anchor="Par183" w:history="1">
        <w:r>
          <w:rPr>
            <w:rFonts w:ascii="Calibri" w:hAnsi="Calibri" w:cs="Calibri"/>
            <w:color w:val="0000FF"/>
          </w:rPr>
          <w:t>пунктом 61</w:t>
        </w:r>
      </w:hyperlink>
      <w:r>
        <w:rPr>
          <w:rFonts w:ascii="Calibri" w:hAnsi="Calibri" w:cs="Calibri"/>
        </w:rPr>
        <w:t xml:space="preserve"> настоящей Программы. В этом случае требование об исполнении гарантии (с приложением документов, указанных в гарантии) может быть предъявлено Российской Федерации в лице Министерства финансов Российской Федерации в течение срока, на который предоставлена гарантия.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Датой предъявления Российской Федерации требования кредитора об исполнении гарантии является дата его поступления в Министерство финансов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получении требования кредитора об исполнении гарантии Министерство финансов Российской Федерации уведомляет принципала и агента Правительства Российской Федерации о предъявлении указанного требования.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Министерство финансов Российской Федерации при участии агента Правительства Российской Федерации в течение 10 рабочих дней рассматривает требование кредитора об исполнении гарантии и прилагаемые к нему документы на предмет обоснованности и соответствия указанного требования и прилагаемых к нему документов условиям гарантии. Министерство финансов Российской Федерации вправе выдвигать в отношении указанного требования возражения, которые мог бы представить принципал, даже в том случае, если принципал отказался их представить и (или) признал свой долг.</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признания обоснованным и соответствующим условиям гарантии требования кредитора об исполнении гарантии с прилагаемыми к нему документами Министерство финансов Российской Федерации в течение 30 дней со дня его предъявления исполняет обязательство по гарантии в размере суммы неисполненных просроченных обязательств принципала по возврату суммы кредита (погашению основного долга), но не более суммы гарантии.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гарантии осуществляется в соответствии с предусмотренными кредитным договором первоначально установленными сроками (графиками) исполнения обязательств принципала, действовавшими на момент вступления в силу кредитного договора, за исключением случая, предусмотренного </w:t>
      </w:r>
      <w:hyperlink w:anchor="Par183" w:history="1">
        <w:r>
          <w:rPr>
            <w:rFonts w:ascii="Calibri" w:hAnsi="Calibri" w:cs="Calibri"/>
            <w:color w:val="0000FF"/>
          </w:rPr>
          <w:t>пунктом 61</w:t>
        </w:r>
      </w:hyperlink>
      <w:r>
        <w:rPr>
          <w:rFonts w:ascii="Calibri" w:hAnsi="Calibri" w:cs="Calibri"/>
        </w:rPr>
        <w:t xml:space="preserve"> настоящей Программы. При этом в случае внесения (с соблюдением условий, установленных </w:t>
      </w:r>
      <w:hyperlink w:anchor="Par176" w:history="1">
        <w:r>
          <w:rPr>
            <w:rFonts w:ascii="Calibri" w:hAnsi="Calibri" w:cs="Calibri"/>
            <w:color w:val="0000FF"/>
          </w:rPr>
          <w:t>пунктом 55</w:t>
        </w:r>
      </w:hyperlink>
      <w:r>
        <w:rPr>
          <w:rFonts w:ascii="Calibri" w:hAnsi="Calibri" w:cs="Calibri"/>
        </w:rPr>
        <w:t xml:space="preserve"> настоящей Программы) после даты заключения договора о предоставлении гарантии изменений в кредитный договор, влекущих изменение (в пределах общего срока возврата суммы кредита (погашения основного долга) в полном объеме, первоначально установленного кредитным договором и соответствующего предельному сроку кредита, указанному в решении об отборе инвестиционного проекта) сроков исполнения обеспеченных гарантией обязательств принципала, исполнение гарантии не осуществляется ранее сроков, установленных в результате внесения таких изменений.</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28" w:name="Par183"/>
      <w:bookmarkEnd w:id="28"/>
      <w:r>
        <w:rPr>
          <w:rFonts w:ascii="Calibri" w:hAnsi="Calibri" w:cs="Calibri"/>
        </w:rPr>
        <w:t>61. Если кредитным договором предусмотрено, что при неисполнении принципалом своих обязательств по уплате процентов за пользование кредитом и (или) возврату суммы кредита (погашению основного долга) либо при наступлении иных событий срок исполнения обязательств по кредитному договору считается наступившим, то исполнение гарантии осуществляется в следующем порядке: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финансовом году, в котором произошел гарантийный случай, по гарантии уплачивается только сумма, соответствующая размеру обеспеченных гарантией обязательств принципала по возврату суммы кредита (погашению основного долга) на указанный финансовый год, исходя из предусмотренных кредитным договором сроков (графиков) исполнения обязательств принципала, действовавших на момент вступления в силу кредитного договора;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2 финансовых лет, следующих за финансовым годом, в котором произошел гарантийный случай, равными пропорциональными платежами уплачивается сумма, </w:t>
      </w:r>
      <w:r>
        <w:rPr>
          <w:rFonts w:ascii="Calibri" w:hAnsi="Calibri" w:cs="Calibri"/>
        </w:rPr>
        <w:lastRenderedPageBreak/>
        <w:t>соответствующая размеру обеспеченных гарантией обязательств принципала по возврату суммы кредита (погашению основного долга), с учетом того обстоятельства, что срок исполнения обязательств по кредитному договору считается наступившим.</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Министерство финансов Российской Федерации в течение 30 дней со дня предъявления указанного требования направляет кредитору мотивированное уведомление об отказе в удовлетворении этого требования.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сумм, уплаченных кредитору по гарантии. Предоставление принципалом обеспечения исполнения обязательств по удовлетворению регрессных требований к нему в связи с исполнением в полном объеме или в какой-либо части гарантии не требуется.</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15 рабочих дней со дня его предъявления принципалу.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Требование кредитора об исполнении гарантии может быть предъявлено Российской Федерации в лице Министерства финансов Российской Федерации либо переуступлено Центральному банку Российской Федерации в соответствии с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мая 2014 г. N 476 "О предоставлении согласия на уступку прав требований".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переуступке прав требований Центральный банк Российской Федерации может предъявить требования об исполнении гарантии Российской Федерации в лице Министерства финансов Российской Федерации либо на основании соглашения с Министерством осуществить иные действия, направленные на исполнение гарантии.</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right"/>
        <w:outlineLvl w:val="1"/>
        <w:rPr>
          <w:rFonts w:ascii="Calibri" w:hAnsi="Calibri" w:cs="Calibri"/>
        </w:rPr>
      </w:pPr>
      <w:bookmarkStart w:id="29" w:name="Par196"/>
      <w:bookmarkEnd w:id="29"/>
      <w:r>
        <w:rPr>
          <w:rFonts w:ascii="Calibri" w:hAnsi="Calibri" w:cs="Calibri"/>
        </w:rPr>
        <w:t>Приложение N 1</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поддержки инвестиционных</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реализуемых на территории</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на основе</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rPr>
          <w:rFonts w:ascii="Calibri" w:hAnsi="Calibri" w:cs="Calibri"/>
        </w:rPr>
      </w:pPr>
      <w:bookmarkStart w:id="30" w:name="Par202"/>
      <w:bookmarkEnd w:id="30"/>
      <w:r>
        <w:rPr>
          <w:rFonts w:ascii="Calibri" w:hAnsi="Calibri" w:cs="Calibri"/>
        </w:rPr>
        <w:t>ПЕРЕЧЕНЬ</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ПРЕДСТАВЛЯЕМЫХ ПРИ ПРОВЕДЕНИИ ОТБОРА</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ДЛЯ УЧАСТИЯ В ПРОГРАММЕ ПОДДЕРЖКИ</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РЕАЛИЗУЕМЫХ НА ТЕРРИТОРИИ</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ОСНОВЕ 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отборе, подписанная уполномоченным лицом лица, представляющего в российскую кредитную организацию или международную финансовую организацию, отобранную для участия в Программе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31" w:name="Par209"/>
      <w:bookmarkEnd w:id="31"/>
      <w:r>
        <w:rPr>
          <w:rFonts w:ascii="Calibri" w:hAnsi="Calibri" w:cs="Calibri"/>
        </w:rPr>
        <w:t xml:space="preserve">2. Нотариально заверенные копии учредительных документов инициатора инвестиционного проекта и лица, которому предоставляется кредит в целях реализации инвестиционного проекта, отобранного для участия в Программе (далее - конечный заемщик) (в случае, если инициатор </w:t>
      </w:r>
      <w:r>
        <w:rPr>
          <w:rFonts w:ascii="Calibri" w:hAnsi="Calibri" w:cs="Calibri"/>
        </w:rPr>
        <w:lastRenderedPageBreak/>
        <w:t>инвестиционного проекта и конечный заемщик не являются одним и тем же лицом), со всеми приложениями и изменениями.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заверенные копии документов, подтверждающих полномочия единоличных исполнительных органов (уполномоченных лиц) инициатора инвестиционного проекта и конечного заемщика на совершение сделок от имени инициатора инвестиционного проекта и конечного заемщика, главного бухгалтера инициатора инвестиционного проекта и конечного заемщика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инициатора инвестиционного проекта и конечного заемщика.</w:t>
      </w:r>
    </w:p>
    <w:p w:rsidR="00E45EFD" w:rsidRDefault="00E45EFD">
      <w:pPr>
        <w:widowControl w:val="0"/>
        <w:autoSpaceDE w:val="0"/>
        <w:autoSpaceDN w:val="0"/>
        <w:adjustRightInd w:val="0"/>
        <w:spacing w:after="0" w:line="240" w:lineRule="auto"/>
        <w:ind w:firstLine="540"/>
        <w:jc w:val="both"/>
        <w:rPr>
          <w:rFonts w:ascii="Calibri" w:hAnsi="Calibri" w:cs="Calibri"/>
        </w:rPr>
      </w:pPr>
      <w:bookmarkStart w:id="32" w:name="Par211"/>
      <w:bookmarkEnd w:id="32"/>
      <w:r>
        <w:rPr>
          <w:rFonts w:ascii="Calibri" w:hAnsi="Calibri" w:cs="Calibri"/>
        </w:rPr>
        <w:t>4. Справки инициатора инвестиционного проекта и конечного заемщика о том, что в отношении инициатора инвестиционного проекта и конечного заемщика не возбуждено производство по делу о несостоятельности (банкротстве) в установленном законодательством Российской Федерации о несостоятельности (банкротстве) порядке.</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Заверенные соответственно инициатором инвестиционного проекта и конечным заемщиком копии годовой бухгалтерской (финансовой) отчетности инициатора инвестиционного проекта и конечного заемщика за год, предшествующий году обращения с заявкой на участие в отборе (с отметкой налогового органа об их принятии), и промежуточной бухгалтерской (финансовой) отчетности инициатора инвестиционного проекта и конечного заемщика на каждую отчетную дату отчетного периода текущего года по установленным Министерством финансов Российской Федерации формам. Если в период между датой подачи документов и датой принятия Межведомственной комиссией по отбору инвестиционных проектов, российских кредитных организаций и международных финансовых организаций решения об отборе инвестиционного проекта и о целесообразности оказания государственной поддержки по инвестиционному проекту в форме предоставления государственной гарантии Российской Федерации наступает очередная дата представления инициатором инвестиционного проекта и конечным заемщиком промежуточной бухгалтерской (финансовой) отчетности, указанная отчетность представляется в рабочий орган Межведомственной комиссии дополнительно.</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Заверенные соответственно инициатором инвестиционного проекта и конечным заемщиком копии аудиторских заключений о достоверности годовой бухгалтерской (финансовой) отчетности инициатора инвестиционного проекта и конечного заемщика за год, предшествующий году обращения с заявкой на участие в отборе (для юридических лиц, которые в соответствии с законодательством Российской Федерации должны проходить ежегодную аудиторскую проверку).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характеризующие кредитную историю инициатора инвестиционного проекта и конечного заемщика, а также их участников (акционеров) (при их наличии).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одобрение (согласие) уполномоченного банка на заключение кредитного договора с конечным заемщиком на реализацию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одобрение (согласие) уполномоченного органа управления конечного заемщика на привлечение средств для финансирования инвестиционного проекта за счет кредитных средств уполномоченного банка.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Заявление конечного заемщика о предоставлении государственной гарантии Российской Федерации с указанием следующих сведений:</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идентификационный номер налогоплательщика и местонахождение конечного заемщика и уполномоченного банка;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стоимость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сумма и срок кредита, привлекаемого для осуществления (финансирования)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(сумма) обязательств конечного заемщика по кредитному договору, подлежащие обеспечению гарантией, с указанием отдельно суммы обязательств по возврату суммы кредита (погашению основного долга) и уплате процентов за пользование кредитом;</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предельная сумма и срок государственной гарантии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right"/>
        <w:outlineLvl w:val="1"/>
        <w:rPr>
          <w:rFonts w:ascii="Calibri" w:hAnsi="Calibri" w:cs="Calibri"/>
        </w:rPr>
      </w:pPr>
      <w:bookmarkStart w:id="33" w:name="Par228"/>
      <w:bookmarkEnd w:id="33"/>
      <w:r>
        <w:rPr>
          <w:rFonts w:ascii="Calibri" w:hAnsi="Calibri" w:cs="Calibri"/>
        </w:rPr>
        <w:t>Приложение N 2</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поддержки инвестиционных</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реализуемых на территории</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на основе</w:t>
      </w: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jc w:val="center"/>
        <w:rPr>
          <w:rFonts w:ascii="Calibri" w:hAnsi="Calibri" w:cs="Calibri"/>
        </w:rPr>
      </w:pPr>
      <w:bookmarkStart w:id="34" w:name="Par236"/>
      <w:bookmarkEnd w:id="34"/>
      <w:r>
        <w:rPr>
          <w:rFonts w:ascii="Calibri" w:hAnsi="Calibri" w:cs="Calibri"/>
        </w:rPr>
        <w:t>Паспорт</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инвестиционного проекта для участия в Программе поддержки</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реализуемых на территории</w:t>
      </w:r>
    </w:p>
    <w:p w:rsidR="00E45EFD" w:rsidRDefault="00E45EF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основе проектного финансирования</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описание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принимающие участие в финансировании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потенциального спроса (объема рынка) на продукцию (услуги).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реализации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фаза строительства;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фаза эксплуатации.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капитальных вложений в реальных ценах.</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финансирования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заемное финансирование, планируемый срок погашения кредитов и займов;</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собственный капитал;</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партнеров по инвестиционному проекту;</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бюджетные средства.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Рейтинг долгосрочной кредитоспособности инициатора инвестиционного проекта (если применимо).</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Социальные эффекты от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объектов социальной инфраструктуры.</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Риски реализации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Анализ сильных и слабых сторон, возможностей и угроз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технологического и ценового аудита инвестиционного проекта.</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E45EFD" w:rsidRDefault="00E45E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Ответственный исполнитель инвестиционного проекта (контактные данные).</w:t>
      </w: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autoSpaceDE w:val="0"/>
        <w:autoSpaceDN w:val="0"/>
        <w:adjustRightInd w:val="0"/>
        <w:spacing w:after="0" w:line="240" w:lineRule="auto"/>
        <w:ind w:firstLine="540"/>
        <w:jc w:val="both"/>
        <w:rPr>
          <w:rFonts w:ascii="Calibri" w:hAnsi="Calibri" w:cs="Calibri"/>
        </w:rPr>
      </w:pPr>
    </w:p>
    <w:p w:rsidR="00E45EFD" w:rsidRDefault="00E45E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963" w:rsidRDefault="00B74963">
      <w:bookmarkStart w:id="35" w:name="_GoBack"/>
      <w:bookmarkEnd w:id="35"/>
    </w:p>
    <w:sectPr w:rsidR="00B74963" w:rsidSect="0086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FD"/>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45EFD"/>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C9C4664418FB181FD5C352D81DBEB18FE3FF0F9263A0ECE3CDA0FE61700D36602B70060421EzCADG" TargetMode="External"/><Relationship Id="rId13" Type="http://schemas.openxmlformats.org/officeDocument/2006/relationships/hyperlink" Target="consultantplus://offline/ref=0D7C9C4664418FB181FD5C352D81DBEB18FA38F1F9296704C665D60DE1z1A8G" TargetMode="External"/><Relationship Id="rId3" Type="http://schemas.openxmlformats.org/officeDocument/2006/relationships/settings" Target="settings.xml"/><Relationship Id="rId7" Type="http://schemas.openxmlformats.org/officeDocument/2006/relationships/hyperlink" Target="consultantplus://offline/ref=0D7C9C4664418FB181FD5C352D81DBEB18FB39FCF92B6704C665D60DE1185FC4614BBB01604318CFz2A7G" TargetMode="External"/><Relationship Id="rId12" Type="http://schemas.openxmlformats.org/officeDocument/2006/relationships/hyperlink" Target="consultantplus://offline/ref=0D7C9C4664418FB181FD5C352D81DBEB18FB3AF6FD256704C665D60DE1185FC4614BBB01604318CFz2A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7C9C4664418FB181FD5C352D81DBEB18FE3EF4FA2A6704C665D60DE1185FC4614BBB01604318CFz2A7G" TargetMode="External"/><Relationship Id="rId11" Type="http://schemas.openxmlformats.org/officeDocument/2006/relationships/hyperlink" Target="consultantplus://offline/ref=0D7C9C4664418FB181FD5C352D81DBEB18F83AF0F2286704C665D60DE1185FC4614BBB01604318CEz2A4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D7C9C4664418FB181FD5C352D81DBEB18FB39FCFB286704C665D60DE1185FC4614BBB04z6A4G" TargetMode="External"/><Relationship Id="rId4" Type="http://schemas.openxmlformats.org/officeDocument/2006/relationships/webSettings" Target="webSettings.xml"/><Relationship Id="rId9" Type="http://schemas.openxmlformats.org/officeDocument/2006/relationships/hyperlink" Target="consultantplus://offline/ref=0D7C9C4664418FB181FD5C352D81DBEB18FB39F5F2256704C665D60DE1185FC4614BBB01604318CFz2A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47712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2015-02-13T06:00:00Z</dcterms:created>
  <dcterms:modified xsi:type="dcterms:W3CDTF">2015-02-13T06:01:00Z</dcterms:modified>
</cp:coreProperties>
</file>