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3E" w:rsidRPr="00EC43D9" w:rsidRDefault="00691F3E" w:rsidP="00691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D9">
        <w:rPr>
          <w:rFonts w:ascii="Times New Roman" w:hAnsi="Times New Roman" w:cs="Times New Roman"/>
          <w:b/>
          <w:sz w:val="28"/>
          <w:szCs w:val="28"/>
        </w:rPr>
        <w:t>Инфраструктура парка «Кузнецкая слобода»</w:t>
      </w:r>
    </w:p>
    <w:p w:rsidR="00691F3E" w:rsidRPr="00EC43D9" w:rsidRDefault="00691F3E" w:rsidP="00691F3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C43D9">
        <w:rPr>
          <w:rFonts w:ascii="Times New Roman" w:hAnsi="Times New Roman"/>
          <w:sz w:val="28"/>
          <w:szCs w:val="28"/>
        </w:rPr>
        <w:t xml:space="preserve">Теплоснабжение: </w:t>
      </w:r>
    </w:p>
    <w:p w:rsidR="00691F3E" w:rsidRPr="00EC43D9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>Собственная газовая котельная</w:t>
      </w:r>
    </w:p>
    <w:tbl>
      <w:tblPr>
        <w:tblW w:w="6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418"/>
      </w:tblGrid>
      <w:tr w:rsidR="00691F3E" w:rsidRPr="00EC43D9" w:rsidTr="00C27572">
        <w:trPr>
          <w:trHeight w:val="118"/>
        </w:trPr>
        <w:tc>
          <w:tcPr>
            <w:tcW w:w="5031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Мощность тепловой энергии (Гкал/ч)</w:t>
            </w:r>
          </w:p>
        </w:tc>
        <w:tc>
          <w:tcPr>
            <w:tcW w:w="1418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691F3E" w:rsidRPr="00EC43D9" w:rsidTr="00C27572">
        <w:trPr>
          <w:trHeight w:val="118"/>
        </w:trPr>
        <w:tc>
          <w:tcPr>
            <w:tcW w:w="5031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Свободная мощность тепловой энергии (Гкал/ч)</w:t>
            </w:r>
          </w:p>
        </w:tc>
        <w:tc>
          <w:tcPr>
            <w:tcW w:w="1418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>Теплоносители: горячая вода с расчетными температурами в подающем трубопроводе +950С</w:t>
      </w:r>
      <w:proofErr w:type="gramStart"/>
      <w:r w:rsidRPr="00EC43D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C43D9">
        <w:rPr>
          <w:rFonts w:ascii="Times New Roman" w:hAnsi="Times New Roman" w:cs="Times New Roman"/>
          <w:sz w:val="28"/>
          <w:szCs w:val="28"/>
        </w:rPr>
        <w:t xml:space="preserve"> обратном +700С; насыщенный пар с рабочим давлением 5 кгс/см2и температурой +1510С.</w:t>
      </w:r>
    </w:p>
    <w:p w:rsidR="00691F3E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F3E" w:rsidRPr="00EC43D9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 Вентиляция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В производственных цехах с </w:t>
      </w:r>
      <w:proofErr w:type="spellStart"/>
      <w:r w:rsidRPr="00EC43D9">
        <w:rPr>
          <w:rFonts w:ascii="Times New Roman" w:hAnsi="Times New Roman" w:cs="Times New Roman"/>
          <w:sz w:val="28"/>
          <w:szCs w:val="28"/>
        </w:rPr>
        <w:t>газопотребляющим</w:t>
      </w:r>
      <w:proofErr w:type="spellEnd"/>
      <w:r w:rsidRPr="00EC43D9">
        <w:rPr>
          <w:rFonts w:ascii="Times New Roman" w:hAnsi="Times New Roman" w:cs="Times New Roman"/>
          <w:sz w:val="28"/>
          <w:szCs w:val="28"/>
        </w:rPr>
        <w:t xml:space="preserve"> оборудованием установлены автоматические датчики СО и СН</w:t>
      </w:r>
      <w:proofErr w:type="gramStart"/>
      <w:r w:rsidRPr="00EC43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C4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Вентиляция </w:t>
      </w:r>
      <w:proofErr w:type="spellStart"/>
      <w:r w:rsidRPr="00EC43D9">
        <w:rPr>
          <w:rFonts w:ascii="Times New Roman" w:hAnsi="Times New Roman" w:cs="Times New Roman"/>
          <w:sz w:val="28"/>
          <w:szCs w:val="28"/>
        </w:rPr>
        <w:t>приточно</w:t>
      </w:r>
      <w:proofErr w:type="spellEnd"/>
      <w:r w:rsidRPr="00EC43D9">
        <w:rPr>
          <w:rFonts w:ascii="Times New Roman" w:hAnsi="Times New Roman" w:cs="Times New Roman"/>
          <w:sz w:val="28"/>
          <w:szCs w:val="28"/>
        </w:rPr>
        <w:t xml:space="preserve"> - вытяжная, обеспечивающая 3-х кратный воздухообмен. В котельной имеется резервное топливное хозяйство, состоящее из насосной </w:t>
      </w:r>
      <w:proofErr w:type="spellStart"/>
      <w:r w:rsidRPr="00EC43D9">
        <w:rPr>
          <w:rFonts w:ascii="Times New Roman" w:hAnsi="Times New Roman" w:cs="Times New Roman"/>
          <w:sz w:val="28"/>
          <w:szCs w:val="28"/>
        </w:rPr>
        <w:t>станции</w:t>
      </w:r>
      <w:proofErr w:type="gramStart"/>
      <w:r w:rsidRPr="00EC43D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C43D9">
        <w:rPr>
          <w:rFonts w:ascii="Times New Roman" w:hAnsi="Times New Roman" w:cs="Times New Roman"/>
          <w:sz w:val="28"/>
          <w:szCs w:val="28"/>
        </w:rPr>
        <w:t>риемочной</w:t>
      </w:r>
      <w:proofErr w:type="spellEnd"/>
      <w:r w:rsidRPr="00EC43D9">
        <w:rPr>
          <w:rFonts w:ascii="Times New Roman" w:hAnsi="Times New Roman" w:cs="Times New Roman"/>
          <w:sz w:val="28"/>
          <w:szCs w:val="28"/>
        </w:rPr>
        <w:t xml:space="preserve"> емкости и трубопроводов.</w:t>
      </w:r>
    </w:p>
    <w:p w:rsidR="00691F3E" w:rsidRPr="00EC43D9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F3E" w:rsidRPr="00EC43D9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 2.Водоснабжение и водоотведение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Собственный водозабор.  Режим работы водозабора круглосуточный. </w:t>
      </w:r>
      <w:r w:rsidRPr="00EC43D9">
        <w:rPr>
          <w:rFonts w:ascii="Times New Roman" w:hAnsi="Times New Roman" w:cs="Times New Roman"/>
          <w:sz w:val="28"/>
          <w:szCs w:val="28"/>
        </w:rPr>
        <w:br/>
        <w:t xml:space="preserve">Забираемая вода отвечает требованиям </w:t>
      </w:r>
      <w:proofErr w:type="spellStart"/>
      <w:r w:rsidRPr="00EC43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C43D9">
        <w:rPr>
          <w:rFonts w:ascii="Times New Roman" w:hAnsi="Times New Roman" w:cs="Times New Roman"/>
          <w:sz w:val="28"/>
          <w:szCs w:val="28"/>
        </w:rPr>
        <w:t xml:space="preserve"> 2.1.4. 1074-01. 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Канализационная сеть - передача образующихся промышленных и хозяйственно-бытовых стоков на городские очистные сооружения. 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1134"/>
        <w:gridCol w:w="3969"/>
      </w:tblGrid>
      <w:tr w:rsidR="00691F3E" w:rsidRPr="00EC43D9" w:rsidTr="00C27572">
        <w:trPr>
          <w:trHeight w:val="422"/>
        </w:trPr>
        <w:tc>
          <w:tcPr>
            <w:tcW w:w="4298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1134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Из них свободная мощность</w:t>
            </w:r>
          </w:p>
        </w:tc>
      </w:tr>
      <w:tr w:rsidR="00691F3E" w:rsidRPr="00EC43D9" w:rsidTr="00C27572">
        <w:trPr>
          <w:trHeight w:val="422"/>
        </w:trPr>
        <w:tc>
          <w:tcPr>
            <w:tcW w:w="4298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 (м3/час)</w:t>
            </w:r>
          </w:p>
        </w:tc>
        <w:tc>
          <w:tcPr>
            <w:tcW w:w="1134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969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691F3E" w:rsidRPr="00EC43D9" w:rsidTr="00C27572">
        <w:trPr>
          <w:trHeight w:val="422"/>
        </w:trPr>
        <w:tc>
          <w:tcPr>
            <w:tcW w:w="4298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Система водоотведения (м3/час)</w:t>
            </w:r>
          </w:p>
        </w:tc>
        <w:tc>
          <w:tcPr>
            <w:tcW w:w="1134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91F3E" w:rsidRPr="00EC43D9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3E" w:rsidRPr="00EC43D9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>3.Электроснабжение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>Установленная мощность всех подстанций составляет 8 793 КВА. Все подстанции оборудованы современными приборами учета электроэнергии. Наличие сводного плана инженерных коммуникаций.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969"/>
      </w:tblGrid>
      <w:tr w:rsidR="00691F3E" w:rsidRPr="00EC43D9" w:rsidTr="00C27572">
        <w:trPr>
          <w:trHeight w:val="209"/>
        </w:trPr>
        <w:tc>
          <w:tcPr>
            <w:tcW w:w="5432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Электрическая мощность (МВт)</w:t>
            </w:r>
          </w:p>
        </w:tc>
        <w:tc>
          <w:tcPr>
            <w:tcW w:w="3969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691F3E" w:rsidRPr="00EC43D9" w:rsidTr="00C27572">
        <w:trPr>
          <w:trHeight w:val="209"/>
        </w:trPr>
        <w:tc>
          <w:tcPr>
            <w:tcW w:w="5432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Свободная электрическая мощность (МВт)</w:t>
            </w:r>
          </w:p>
        </w:tc>
        <w:tc>
          <w:tcPr>
            <w:tcW w:w="3969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91F3E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3E" w:rsidRPr="00EC43D9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>4. Газоснабжение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Газоснабжение осуществляется от подземного газопровода высокого давления </w:t>
      </w:r>
      <w:proofErr w:type="gramStart"/>
      <w:r w:rsidRPr="00EC43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43D9">
        <w:rPr>
          <w:rFonts w:ascii="Times New Roman" w:hAnsi="Times New Roman" w:cs="Times New Roman"/>
          <w:sz w:val="28"/>
          <w:szCs w:val="28"/>
        </w:rPr>
        <w:t>=0,6 МПа, Ду150 мм.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969"/>
      </w:tblGrid>
      <w:tr w:rsidR="00691F3E" w:rsidRPr="00EC43D9" w:rsidTr="00C27572">
        <w:trPr>
          <w:trHeight w:val="205"/>
        </w:trPr>
        <w:tc>
          <w:tcPr>
            <w:tcW w:w="5432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Мощность по газу (м3/час)</w:t>
            </w:r>
          </w:p>
        </w:tc>
        <w:tc>
          <w:tcPr>
            <w:tcW w:w="3969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1 015</w:t>
            </w:r>
          </w:p>
        </w:tc>
      </w:tr>
      <w:tr w:rsidR="00691F3E" w:rsidRPr="00EC43D9" w:rsidTr="00C27572">
        <w:trPr>
          <w:trHeight w:val="205"/>
        </w:trPr>
        <w:tc>
          <w:tcPr>
            <w:tcW w:w="5432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Свободная мощность по газу (м3/час)</w:t>
            </w:r>
          </w:p>
        </w:tc>
        <w:tc>
          <w:tcPr>
            <w:tcW w:w="3969" w:type="dxa"/>
            <w:tcBorders>
              <w:top w:val="single" w:sz="6" w:space="0" w:color="D6C4A4"/>
              <w:left w:val="single" w:sz="6" w:space="0" w:color="D6C4A4"/>
              <w:bottom w:val="single" w:sz="6" w:space="0" w:color="D6C4A4"/>
              <w:right w:val="single" w:sz="6" w:space="0" w:color="D6C4A4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F3E" w:rsidRPr="00EC43D9" w:rsidRDefault="00691F3E" w:rsidP="00C27572">
            <w:pPr>
              <w:spacing w:before="135" w:after="135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D9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</w:tr>
    </w:tbl>
    <w:p w:rsidR="00691F3E" w:rsidRPr="00EC43D9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>5. Связь и  Интернет.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 На территории Парка действует зона покрытия всех российских операторов сотовой связи, включая зону покрытия 3G. </w:t>
      </w:r>
    </w:p>
    <w:p w:rsidR="00691F3E" w:rsidRPr="00EC43D9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>Обеспечен постоянный (выделенный) доступ в сеть Интернет.</w:t>
      </w:r>
    </w:p>
    <w:p w:rsidR="00691F3E" w:rsidRPr="00EC43D9" w:rsidRDefault="00691F3E" w:rsidP="00691F3E">
      <w:pPr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>6.Благоустройство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Подъездные пути с асфальтовым покрытием и </w:t>
      </w:r>
      <w:proofErr w:type="spellStart"/>
      <w:r w:rsidRPr="00EC43D9">
        <w:rPr>
          <w:rFonts w:ascii="Times New Roman" w:hAnsi="Times New Roman" w:cs="Times New Roman"/>
          <w:sz w:val="28"/>
          <w:szCs w:val="28"/>
        </w:rPr>
        <w:t>внутрипарковые</w:t>
      </w:r>
      <w:proofErr w:type="spellEnd"/>
      <w:r w:rsidRPr="00EC43D9">
        <w:rPr>
          <w:rFonts w:ascii="Times New Roman" w:hAnsi="Times New Roman" w:cs="Times New Roman"/>
          <w:sz w:val="28"/>
          <w:szCs w:val="28"/>
        </w:rPr>
        <w:t xml:space="preserve"> дороги. 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Парковка для сотрудников, гостевая парковка на 70 автомобилей. Имеется бесплатная парковка на охраняемой территории для 20 грузовых машин. 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 информация.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Оборудованный </w:t>
      </w:r>
      <w:proofErr w:type="spellStart"/>
      <w:proofErr w:type="gramStart"/>
      <w:r w:rsidRPr="00EC43D9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EC43D9">
        <w:rPr>
          <w:rFonts w:ascii="Times New Roman" w:hAnsi="Times New Roman" w:cs="Times New Roman"/>
          <w:sz w:val="28"/>
          <w:szCs w:val="28"/>
        </w:rPr>
        <w:t xml:space="preserve"> - зал</w:t>
      </w:r>
      <w:proofErr w:type="gramEnd"/>
      <w:r w:rsidRPr="00EC43D9">
        <w:rPr>
          <w:rFonts w:ascii="Times New Roman" w:hAnsi="Times New Roman" w:cs="Times New Roman"/>
          <w:sz w:val="28"/>
          <w:szCs w:val="28"/>
        </w:rPr>
        <w:t xml:space="preserve"> для проведения конференций, выставок, семинаров, банкетов, фуршетов, презентаций и других официальных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 xml:space="preserve">На территории Парка действует собственный медицинский пункт. </w:t>
      </w:r>
    </w:p>
    <w:p w:rsidR="00691F3E" w:rsidRPr="00EC43D9" w:rsidRDefault="00691F3E" w:rsidP="00691F3E">
      <w:pPr>
        <w:spacing w:after="0" w:line="255" w:lineRule="atLeast"/>
        <w:ind w:right="330"/>
        <w:jc w:val="both"/>
        <w:rPr>
          <w:rFonts w:ascii="Times New Roman" w:hAnsi="Times New Roman" w:cs="Times New Roman"/>
          <w:sz w:val="28"/>
          <w:szCs w:val="28"/>
        </w:rPr>
      </w:pPr>
      <w:r w:rsidRPr="00EC43D9">
        <w:rPr>
          <w:rFonts w:ascii="Times New Roman" w:hAnsi="Times New Roman" w:cs="Times New Roman"/>
          <w:sz w:val="28"/>
          <w:szCs w:val="28"/>
        </w:rPr>
        <w:t>Обеспечены</w:t>
      </w:r>
      <w:proofErr w:type="gramStart"/>
      <w:r w:rsidRPr="00EC43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43D9">
        <w:rPr>
          <w:rFonts w:ascii="Times New Roman" w:hAnsi="Times New Roman" w:cs="Times New Roman"/>
          <w:sz w:val="28"/>
          <w:szCs w:val="28"/>
        </w:rPr>
        <w:t xml:space="preserve"> круглосуточная охрана, пропускная система и видеонаблюдение.</w:t>
      </w:r>
    </w:p>
    <w:p w:rsidR="00B74963" w:rsidRDefault="00B74963">
      <w:bookmarkStart w:id="0" w:name="_GoBack"/>
      <w:bookmarkEnd w:id="0"/>
    </w:p>
    <w:sectPr w:rsidR="00B7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4D2"/>
    <w:multiLevelType w:val="hybridMultilevel"/>
    <w:tmpl w:val="9278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3E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91F3E"/>
    <w:rsid w:val="006C2EE0"/>
    <w:rsid w:val="00723BA8"/>
    <w:rsid w:val="007608C3"/>
    <w:rsid w:val="007747BD"/>
    <w:rsid w:val="007751B2"/>
    <w:rsid w:val="007922CD"/>
    <w:rsid w:val="008141EF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3E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3E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1</cp:revision>
  <dcterms:created xsi:type="dcterms:W3CDTF">2015-02-02T10:56:00Z</dcterms:created>
  <dcterms:modified xsi:type="dcterms:W3CDTF">2015-02-02T10:56:00Z</dcterms:modified>
</cp:coreProperties>
</file>