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D3" w:rsidRDefault="00427CD3" w:rsidP="00820C0A">
      <w:pPr>
        <w:spacing w:before="100" w:beforeAutospacing="1" w:after="100" w:afterAutospacing="1" w:line="240" w:lineRule="auto"/>
        <w:rPr>
          <w:rFonts w:ascii="Times New Roman" w:eastAsia="Times New Roman" w:hAnsi="Times New Roman" w:cs="Times New Roman"/>
          <w:b/>
          <w:bCs/>
          <w:color w:val="A52A2A"/>
          <w:sz w:val="33"/>
          <w:szCs w:val="33"/>
          <w:lang w:eastAsia="ru-RU"/>
        </w:rPr>
      </w:pPr>
      <w:proofErr w:type="spellStart"/>
      <w:r w:rsidRPr="00427CD3">
        <w:rPr>
          <w:rFonts w:ascii="Times New Roman" w:eastAsia="Times New Roman" w:hAnsi="Times New Roman" w:cs="Times New Roman"/>
          <w:b/>
          <w:bCs/>
          <w:color w:val="A52A2A"/>
          <w:sz w:val="33"/>
          <w:szCs w:val="33"/>
          <w:lang w:eastAsia="ru-RU"/>
        </w:rPr>
        <w:t>Fitch</w:t>
      </w:r>
      <w:proofErr w:type="spellEnd"/>
      <w:r w:rsidRPr="00427CD3">
        <w:rPr>
          <w:rFonts w:ascii="Times New Roman" w:eastAsia="Times New Roman" w:hAnsi="Times New Roman" w:cs="Times New Roman"/>
          <w:b/>
          <w:bCs/>
          <w:color w:val="A52A2A"/>
          <w:sz w:val="33"/>
          <w:szCs w:val="33"/>
          <w:lang w:eastAsia="ru-RU"/>
        </w:rPr>
        <w:t xml:space="preserve"> подтвердило рейтинги Липецкой области на уровне «BB», прогноз «Стабильный»</w:t>
      </w:r>
    </w:p>
    <w:p w:rsidR="00427CD3" w:rsidRPr="00427CD3" w:rsidRDefault="00601ACC" w:rsidP="00427CD3">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proofErr w:type="spellStart"/>
        <w:r w:rsidR="00427CD3" w:rsidRPr="00427CD3">
          <w:rPr>
            <w:rFonts w:ascii="Times New Roman" w:eastAsia="Times New Roman" w:hAnsi="Times New Roman" w:cs="Times New Roman"/>
            <w:color w:val="0000FF"/>
            <w:sz w:val="24"/>
            <w:szCs w:val="24"/>
            <w:u w:val="single"/>
            <w:lang w:eastAsia="ru-RU"/>
          </w:rPr>
          <w:t>Fitch</w:t>
        </w:r>
        <w:proofErr w:type="spellEnd"/>
        <w:r w:rsidR="00427CD3" w:rsidRPr="00427CD3">
          <w:rPr>
            <w:rFonts w:ascii="Times New Roman" w:eastAsia="Times New Roman" w:hAnsi="Times New Roman" w:cs="Times New Roman"/>
            <w:color w:val="0000FF"/>
            <w:sz w:val="24"/>
            <w:szCs w:val="24"/>
            <w:u w:val="single"/>
            <w:lang w:eastAsia="ru-RU"/>
          </w:rPr>
          <w:t xml:space="preserve"> Ratings-Москва/Лондон-19 сентября 2016 г.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history="1">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xml:space="preserve"> Ratings-Moscow-19 </w:t>
        </w:r>
        <w:proofErr w:type="spellStart"/>
        <w:r w:rsidR="00427CD3" w:rsidRPr="00542A72">
          <w:rPr>
            <w:rFonts w:ascii="Times New Roman" w:eastAsia="Times New Roman" w:hAnsi="Times New Roman" w:cs="Times New Roman"/>
            <w:color w:val="000000"/>
            <w:sz w:val="24"/>
            <w:szCs w:val="24"/>
            <w:lang w:eastAsia="ru-RU"/>
          </w:rPr>
          <w:t>September</w:t>
        </w:r>
        <w:proofErr w:type="spellEnd"/>
        <w:r w:rsidR="00427CD3" w:rsidRPr="00542A72">
          <w:rPr>
            <w:rFonts w:ascii="Times New Roman" w:eastAsia="Times New Roman" w:hAnsi="Times New Roman" w:cs="Times New Roman"/>
            <w:color w:val="000000"/>
            <w:sz w:val="24"/>
            <w:szCs w:val="24"/>
            <w:lang w:eastAsia="ru-RU"/>
          </w:rPr>
          <w:t xml:space="preserve"> 2016: (перевод с английского языка)</w:t>
        </w:r>
        <w:r w:rsidR="00427CD3" w:rsidRPr="00427CD3">
          <w:rPr>
            <w:rFonts w:ascii="Times New Roman" w:eastAsia="Times New Roman" w:hAnsi="Times New Roman" w:cs="Times New Roman"/>
            <w:color w:val="000000"/>
            <w:sz w:val="24"/>
            <w:szCs w:val="24"/>
            <w:lang w:eastAsia="ru-RU"/>
          </w:rPr>
          <w:br/>
        </w:r>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xml:space="preserve"> Ratings-Москва/Лондон-16 сентября 2016 г. </w:t>
        </w:r>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xml:space="preserve"> </w:t>
        </w:r>
        <w:proofErr w:type="spellStart"/>
        <w:r w:rsidR="00427CD3" w:rsidRPr="00542A72">
          <w:rPr>
            <w:rFonts w:ascii="Times New Roman" w:eastAsia="Times New Roman" w:hAnsi="Times New Roman" w:cs="Times New Roman"/>
            <w:color w:val="000000"/>
            <w:sz w:val="24"/>
            <w:szCs w:val="24"/>
            <w:lang w:eastAsia="ru-RU"/>
          </w:rPr>
          <w:t>Ratings</w:t>
        </w:r>
        <w:proofErr w:type="spellEnd"/>
        <w:r w:rsidR="00427CD3" w:rsidRPr="00542A72">
          <w:rPr>
            <w:rFonts w:ascii="Times New Roman" w:eastAsia="Times New Roman" w:hAnsi="Times New Roman" w:cs="Times New Roman"/>
            <w:color w:val="000000"/>
            <w:sz w:val="24"/>
            <w:szCs w:val="24"/>
            <w:lang w:eastAsia="ru-RU"/>
          </w:rPr>
          <w:t xml:space="preserve"> подтвердило рейтинги Липецкой области Российской Федерации: долгосрочные рейтинги дефолта эмитента («РДЭ») в иностранной и национальной валюте на уровне «BB», краткосрочный РДЭ в иностранной валюте «B» и национальный долгосрочный рейтинг региона «AA-(</w:t>
        </w:r>
        <w:proofErr w:type="spellStart"/>
        <w:r w:rsidR="00427CD3" w:rsidRPr="00542A72">
          <w:rPr>
            <w:rFonts w:ascii="Times New Roman" w:eastAsia="Times New Roman" w:hAnsi="Times New Roman" w:cs="Times New Roman"/>
            <w:color w:val="000000"/>
            <w:sz w:val="24"/>
            <w:szCs w:val="24"/>
            <w:lang w:eastAsia="ru-RU"/>
          </w:rPr>
          <w:t>rus</w:t>
        </w:r>
        <w:proofErr w:type="spellEnd"/>
        <w:r w:rsidR="00427CD3" w:rsidRPr="00542A72">
          <w:rPr>
            <w:rFonts w:ascii="Times New Roman" w:eastAsia="Times New Roman" w:hAnsi="Times New Roman" w:cs="Times New Roman"/>
            <w:color w:val="000000"/>
            <w:sz w:val="24"/>
            <w:szCs w:val="24"/>
            <w:lang w:eastAsia="ru-RU"/>
          </w:rPr>
          <w:t>)». Прогноз по долгосрочным рейтингам – «Стабильный». Также агентство подтвердило рейтинги приоритетных необеспеченных облигаций региона, находящихся в обращении на внутреннем рынке: долгосрочный рейтинг в национальной валюте «BB» и национальный долгосрочный рейтинг «AA-(</w:t>
        </w:r>
        <w:proofErr w:type="spellStart"/>
        <w:r w:rsidR="00427CD3" w:rsidRPr="00542A72">
          <w:rPr>
            <w:rFonts w:ascii="Times New Roman" w:eastAsia="Times New Roman" w:hAnsi="Times New Roman" w:cs="Times New Roman"/>
            <w:color w:val="000000"/>
            <w:sz w:val="24"/>
            <w:szCs w:val="24"/>
            <w:lang w:eastAsia="ru-RU"/>
          </w:rPr>
          <w:t>rus</w:t>
        </w:r>
        <w:proofErr w:type="spellEnd"/>
        <w:r w:rsidR="00427CD3" w:rsidRPr="00542A72">
          <w:rPr>
            <w:rFonts w:ascii="Times New Roman" w:eastAsia="Times New Roman" w:hAnsi="Times New Roman" w:cs="Times New Roman"/>
            <w:color w:val="000000"/>
            <w:sz w:val="24"/>
            <w:szCs w:val="24"/>
            <w:lang w:eastAsia="ru-RU"/>
          </w:rPr>
          <w:t xml:space="preserve">)».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history="1">
        <w:r w:rsidR="00427CD3" w:rsidRPr="00542A72">
          <w:rPr>
            <w:rFonts w:ascii="Times New Roman" w:eastAsia="Times New Roman" w:hAnsi="Times New Roman" w:cs="Times New Roman"/>
            <w:color w:val="000000"/>
            <w:sz w:val="24"/>
            <w:szCs w:val="24"/>
            <w:lang w:eastAsia="ru-RU"/>
          </w:rPr>
          <w:t xml:space="preserve">Подтверждение рейтингов отражает ожидания </w:t>
        </w:r>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что область будет поддерживать приемлемые бюджетные показатели, хотя они по-прежнему подвержены волатильности, а также умеренный уровень долга. Кроме того, подтверждение принимает во внимание укрепление ликвидности региона на фоне более высоких налоговых поступлений в 2014-2015 гг.</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history="1">
        <w:r w:rsidR="00427CD3" w:rsidRPr="00542A72">
          <w:rPr>
            <w:rFonts w:ascii="Times New Roman" w:eastAsia="Times New Roman" w:hAnsi="Times New Roman" w:cs="Times New Roman"/>
            <w:color w:val="000000"/>
            <w:sz w:val="24"/>
            <w:szCs w:val="24"/>
            <w:lang w:eastAsia="ru-RU"/>
          </w:rPr>
          <w:t xml:space="preserve">КЛЮЧЕВЫЕ РЕЙТИНГОВЫЕ ФАКТОРЫ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 w:history="1">
        <w:r w:rsidR="00427CD3" w:rsidRPr="00542A72">
          <w:rPr>
            <w:rFonts w:ascii="Times New Roman" w:eastAsia="Times New Roman" w:hAnsi="Times New Roman" w:cs="Times New Roman"/>
            <w:color w:val="000000"/>
            <w:sz w:val="24"/>
            <w:szCs w:val="24"/>
            <w:lang w:eastAsia="ru-RU"/>
          </w:rPr>
          <w:t xml:space="preserve">Рейтинги отражают умеренный прямой риск Липецкой области (прямой долг плюс прочая задолженность по классификации </w:t>
        </w:r>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с управляемым риском рефинансирования, приемлемые налогово-бюджетные показатели с операционным балансом, достаточным для покрытия процентных платежей, и хорошую ликвидность. Также рейтинги учитывают высокую концентрацию областной экономики на черной металлургии, что делает регион зависимым от колебаний на рынке стали и обуславливает волатильность налоговых доходов.</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history="1">
        <w:r w:rsidR="00427CD3" w:rsidRPr="00542A72">
          <w:rPr>
            <w:rFonts w:ascii="Times New Roman" w:eastAsia="Times New Roman" w:hAnsi="Times New Roman" w:cs="Times New Roman"/>
            <w:color w:val="000000"/>
            <w:sz w:val="24"/>
            <w:szCs w:val="24"/>
            <w:lang w:eastAsia="ru-RU"/>
          </w:rPr>
          <w:t xml:space="preserve">Базовый сценарий </w:t>
        </w:r>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xml:space="preserve"> на 2016 г. остался без изменений. Мы ожидаем, что Липецкая область будет поддерживать хороший операционный баланс, близкий к историческим средним уровням около 8%-10% от операционных доходов в среднесрочной перспективе, чему будут способствовать сильная налоговая база и политика администрации области по сдерживанию расходов. В 2015 г. операционная маржа достигла исторически высокого уровня 15% в результате роста налоговых поступлений на 16% к предыдущему году ввиду благоприятной конъюнктуры на металлургическом рынке.</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 w:history="1">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xml:space="preserve"> прогнозирует, что область будет иметь умеренный дефицит бюджета в среднесрочной перспективе, на уровне около 6% от всех доходов, что представляет собой ухудшение в сравнении с бездефицитными бюджетами в 2014-2015 гг., когда бюджетные показатели подкреплялись налоговыми поступлениями от сталелитейного сектора. Крупнейший налогоплательщик региона, ПАО Новолипецкий металлургический комбинат («BBB-»/ прогноз «Негативный»), получил преимущества от падения курса рубля. В 1 половине 2016 г. это позитивное влияние сошло на нет. Налоговые доходы от сталелитейного сектора упали на 14% к предыдущему году. Это привело к бюджетному дефициту в 1 млрд. руб. за 7 мес. 2016 г., что находится в рамках наших ожиданий.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 w:history="1">
        <w:proofErr w:type="spellStart"/>
        <w:r w:rsidR="00427CD3" w:rsidRPr="00542A72">
          <w:rPr>
            <w:rFonts w:ascii="Times New Roman" w:eastAsia="Times New Roman" w:hAnsi="Times New Roman" w:cs="Times New Roman"/>
            <w:color w:val="000000"/>
            <w:sz w:val="24"/>
            <w:szCs w:val="24"/>
            <w:lang w:eastAsia="ru-RU"/>
          </w:rPr>
          <w:t>Fitch</w:t>
        </w:r>
        <w:proofErr w:type="spellEnd"/>
        <w:r w:rsidR="00427CD3" w:rsidRPr="00542A72">
          <w:rPr>
            <w:rFonts w:ascii="Times New Roman" w:eastAsia="Times New Roman" w:hAnsi="Times New Roman" w:cs="Times New Roman"/>
            <w:color w:val="000000"/>
            <w:sz w:val="24"/>
            <w:szCs w:val="24"/>
            <w:lang w:eastAsia="ru-RU"/>
          </w:rPr>
          <w:t xml:space="preserve"> считает, что волатильность региональных финансов частично сглаживается взвешенной политикой администрации, которая накапливает незапланированные </w:t>
        </w:r>
        <w:r w:rsidR="00427CD3" w:rsidRPr="00542A72">
          <w:rPr>
            <w:rFonts w:ascii="Times New Roman" w:eastAsia="Times New Roman" w:hAnsi="Times New Roman" w:cs="Times New Roman"/>
            <w:color w:val="000000"/>
            <w:sz w:val="24"/>
            <w:szCs w:val="24"/>
            <w:lang w:eastAsia="ru-RU"/>
          </w:rPr>
          <w:lastRenderedPageBreak/>
          <w:t xml:space="preserve">налоговые поступления в пиковые годы и держит расходы под контролем. В результате остатки на счетах области увеличились в 5,4 раза в 2014-2015 гг. до 7,3 млрд. руб., что покрывало 37% прямого риска на конец 2015 г.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history="1">
        <w:r w:rsidR="00427CD3" w:rsidRPr="00542A72">
          <w:rPr>
            <w:rFonts w:ascii="Times New Roman" w:eastAsia="Times New Roman" w:hAnsi="Times New Roman" w:cs="Times New Roman"/>
            <w:color w:val="000000"/>
            <w:sz w:val="24"/>
            <w:szCs w:val="24"/>
            <w:lang w:eastAsia="ru-RU"/>
          </w:rPr>
          <w:t xml:space="preserve">Агентство ожидает, что прямой риск региона вырастет в 2017-2018 гг., но останется умеренным на уровне менее 50% от текущих доходов. Давление в плане рефинансирования остается управляемым, так как область имеет относительно равномерную структуру погашения долга со сроками, распределенными до 2020 г. Долг в равных долях представлен банковскими кредитами, облигациями и бюджетными кредитами. По состоянию на 1 августа 2016 г. Липецкая область погасила часть долга со сроками в этом году за счет остатков денежных средств и привлекла долгосрочный бюджетный кредит на сумму 2,1 млрд. руб. под субсидируемую процентную ставку для рефинансирования остального долга.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 w:history="1">
        <w:r w:rsidR="00427CD3" w:rsidRPr="00542A72">
          <w:rPr>
            <w:rFonts w:ascii="Times New Roman" w:eastAsia="Times New Roman" w:hAnsi="Times New Roman" w:cs="Times New Roman"/>
            <w:color w:val="000000"/>
            <w:sz w:val="24"/>
            <w:szCs w:val="24"/>
            <w:lang w:eastAsia="ru-RU"/>
          </w:rPr>
          <w:t xml:space="preserve">Липецкая область обладает развитой экономикой при показателях благосостояния немного выше медианы в стране. В 2015 г. валовый региональный продукт вырос на 0,8%, что лучше показателей российской экономики (падение на 3,7%) за счет хороших показателей металлургического сектора. На долю черной металлургии пришлось 58% промышленного производства и свыше 40% всех налоговых поступлений области в 2015 г., что делает областную экономику уязвимой к колебаниям на внутреннем и международном рынках стали.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 w:history="1">
        <w:r w:rsidR="00427CD3" w:rsidRPr="00542A72">
          <w:rPr>
            <w:rFonts w:ascii="Times New Roman" w:eastAsia="Times New Roman" w:hAnsi="Times New Roman" w:cs="Times New Roman"/>
            <w:color w:val="000000"/>
            <w:sz w:val="24"/>
            <w:szCs w:val="24"/>
            <w:lang w:eastAsia="ru-RU"/>
          </w:rPr>
          <w:t>Институциональная среда субнациональных образований в России является сдерживающим фактором для рейтингов региона. Эта среда имеет более короткую историю стабильного развития, чем у многих сопоставимых международных эмитентов. Частое перераспределение доходных и расходных полномочий между бюджетами различных уровней сказывается на прогнозируемости бюджетной политики российских местных и региональных органов власти.</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 w:history="1">
        <w:r w:rsidR="00427CD3" w:rsidRPr="00542A72">
          <w:rPr>
            <w:rFonts w:ascii="Times New Roman" w:eastAsia="Times New Roman" w:hAnsi="Times New Roman" w:cs="Times New Roman"/>
            <w:color w:val="000000"/>
            <w:sz w:val="24"/>
            <w:szCs w:val="24"/>
            <w:lang w:eastAsia="ru-RU"/>
          </w:rPr>
          <w:t>ФАКТОРЫ, КОТОРЫЕ МОГУТ ВЛИЯТЬ НА РЕЙТИНГИ В БУДУЩЕМ</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 w:history="1">
        <w:r w:rsidR="00427CD3" w:rsidRPr="00542A72">
          <w:rPr>
            <w:rFonts w:ascii="Times New Roman" w:eastAsia="Times New Roman" w:hAnsi="Times New Roman" w:cs="Times New Roman"/>
            <w:color w:val="000000"/>
            <w:sz w:val="24"/>
            <w:szCs w:val="24"/>
            <w:lang w:eastAsia="ru-RU"/>
          </w:rPr>
          <w:t xml:space="preserve">Сильный операционный баланс на уровне около 15% от операционных доходов на устойчивой основе в сочетании с обеспеченностью долга (прямой риск к текущему балансу) менее четырех лет может обусловить позитивное рейтинговое действие. </w:t>
        </w:r>
      </w:hyperlink>
    </w:p>
    <w:p w:rsidR="00427CD3" w:rsidRPr="00427CD3" w:rsidRDefault="00601ACC" w:rsidP="00427CD3">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 w:history="1">
        <w:r w:rsidR="00427CD3" w:rsidRPr="00542A72">
          <w:rPr>
            <w:rFonts w:ascii="Times New Roman" w:eastAsia="Times New Roman" w:hAnsi="Times New Roman" w:cs="Times New Roman"/>
            <w:color w:val="000000"/>
            <w:sz w:val="24"/>
            <w:szCs w:val="24"/>
            <w:lang w:eastAsia="ru-RU"/>
          </w:rPr>
          <w:t>Рост прямого риска до более 60% от текущих доходов в результате увеличения дефицита до движения долга может привести к негативному рейтинговому действию.</w:t>
        </w:r>
      </w:hyperlink>
    </w:p>
    <w:p w:rsidR="00427CD3" w:rsidRPr="00427CD3" w:rsidRDefault="00601ACC" w:rsidP="00427CD3">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427CD3" w:rsidRPr="00542A72">
          <w:rPr>
            <w:rFonts w:ascii="Times New Roman" w:eastAsia="Times New Roman" w:hAnsi="Times New Roman" w:cs="Times New Roman"/>
            <w:color w:val="000000"/>
            <w:sz w:val="24"/>
            <w:szCs w:val="24"/>
            <w:lang w:eastAsia="ru-RU"/>
          </w:rPr>
          <w:t xml:space="preserve">Контакты: </w:t>
        </w:r>
      </w:hyperlink>
    </w:p>
    <w:p w:rsidR="00427CD3" w:rsidRPr="00427CD3" w:rsidRDefault="00601ACC" w:rsidP="00427CD3">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427CD3" w:rsidRPr="00542A72">
          <w:rPr>
            <w:rFonts w:ascii="Times New Roman" w:eastAsia="Times New Roman" w:hAnsi="Times New Roman" w:cs="Times New Roman"/>
            <w:color w:val="000000"/>
            <w:sz w:val="24"/>
            <w:szCs w:val="24"/>
            <w:lang w:eastAsia="ru-RU"/>
          </w:rPr>
          <w:t>Первый аналитик</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Алексей Кобылянский</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Аналитик</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+7 495 956 99 80</w:t>
        </w:r>
        <w:r w:rsidR="00427CD3" w:rsidRPr="00427CD3">
          <w:rPr>
            <w:rFonts w:ascii="Times New Roman" w:eastAsia="Times New Roman" w:hAnsi="Times New Roman" w:cs="Times New Roman"/>
            <w:color w:val="000000"/>
            <w:sz w:val="24"/>
            <w:szCs w:val="24"/>
            <w:lang w:eastAsia="ru-RU"/>
          </w:rPr>
          <w:br/>
        </w:r>
        <w:proofErr w:type="spellStart"/>
        <w:r w:rsidR="00427CD3" w:rsidRPr="00542A72">
          <w:rPr>
            <w:rFonts w:ascii="Times New Roman" w:eastAsia="Times New Roman" w:hAnsi="Times New Roman" w:cs="Times New Roman"/>
            <w:color w:val="000000"/>
            <w:sz w:val="24"/>
            <w:szCs w:val="24"/>
            <w:lang w:eastAsia="ru-RU"/>
          </w:rPr>
          <w:t>Фитч</w:t>
        </w:r>
        <w:proofErr w:type="spellEnd"/>
        <w:r w:rsidR="00427CD3" w:rsidRPr="00542A72">
          <w:rPr>
            <w:rFonts w:ascii="Times New Roman" w:eastAsia="Times New Roman" w:hAnsi="Times New Roman" w:cs="Times New Roman"/>
            <w:color w:val="000000"/>
            <w:sz w:val="24"/>
            <w:szCs w:val="24"/>
            <w:lang w:eastAsia="ru-RU"/>
          </w:rPr>
          <w:t xml:space="preserve"> </w:t>
        </w:r>
        <w:proofErr w:type="spellStart"/>
        <w:r w:rsidR="00427CD3" w:rsidRPr="00542A72">
          <w:rPr>
            <w:rFonts w:ascii="Times New Roman" w:eastAsia="Times New Roman" w:hAnsi="Times New Roman" w:cs="Times New Roman"/>
            <w:color w:val="000000"/>
            <w:sz w:val="24"/>
            <w:szCs w:val="24"/>
            <w:lang w:eastAsia="ru-RU"/>
          </w:rPr>
          <w:t>Рейтингз</w:t>
        </w:r>
        <w:proofErr w:type="spellEnd"/>
        <w:r w:rsidR="00427CD3" w:rsidRPr="00542A72">
          <w:rPr>
            <w:rFonts w:ascii="Times New Roman" w:eastAsia="Times New Roman" w:hAnsi="Times New Roman" w:cs="Times New Roman"/>
            <w:color w:val="000000"/>
            <w:sz w:val="24"/>
            <w:szCs w:val="24"/>
            <w:lang w:eastAsia="ru-RU"/>
          </w:rPr>
          <w:t xml:space="preserve"> СНГ Лтд</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26, ул. Валовая</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Москва 115054</w:t>
        </w:r>
      </w:hyperlink>
    </w:p>
    <w:p w:rsidR="00427CD3" w:rsidRPr="00427CD3" w:rsidRDefault="00601ACC" w:rsidP="00427CD3">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427CD3" w:rsidRPr="00542A72">
          <w:rPr>
            <w:rFonts w:ascii="Times New Roman" w:eastAsia="Times New Roman" w:hAnsi="Times New Roman" w:cs="Times New Roman"/>
            <w:color w:val="000000"/>
            <w:sz w:val="24"/>
            <w:szCs w:val="24"/>
            <w:lang w:eastAsia="ru-RU"/>
          </w:rPr>
          <w:t>Второй аналитик</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Елена Ожегова</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Младший директор</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+7 495 956 99 01</w:t>
        </w:r>
      </w:hyperlink>
    </w:p>
    <w:p w:rsidR="00427CD3" w:rsidRPr="00427CD3" w:rsidRDefault="00601ACC" w:rsidP="00427CD3">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427CD3" w:rsidRPr="00542A72">
          <w:rPr>
            <w:rFonts w:ascii="Times New Roman" w:eastAsia="Times New Roman" w:hAnsi="Times New Roman" w:cs="Times New Roman"/>
            <w:color w:val="000000"/>
            <w:sz w:val="24"/>
            <w:szCs w:val="24"/>
            <w:lang w:eastAsia="ru-RU"/>
          </w:rPr>
          <w:t>Председатель комитета</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Гидо Бах</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Старший директор</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+49 69 768076 111</w:t>
        </w:r>
        <w:r w:rsidR="00427CD3" w:rsidRPr="00427CD3">
          <w:rPr>
            <w:rFonts w:ascii="Times New Roman" w:eastAsia="Times New Roman" w:hAnsi="Times New Roman" w:cs="Times New Roman"/>
            <w:color w:val="000000"/>
            <w:sz w:val="24"/>
            <w:szCs w:val="24"/>
            <w:lang w:eastAsia="ru-RU"/>
          </w:rPr>
          <w:br/>
        </w:r>
        <w:r w:rsidR="00427CD3" w:rsidRPr="00542A72">
          <w:rPr>
            <w:rFonts w:ascii="Times New Roman" w:eastAsia="Times New Roman" w:hAnsi="Times New Roman" w:cs="Times New Roman"/>
            <w:color w:val="000000"/>
            <w:sz w:val="24"/>
            <w:szCs w:val="24"/>
            <w:lang w:eastAsia="ru-RU"/>
          </w:rPr>
          <w:t>Контакты для прессы в Москве: Юлия Бельская фон Телль, Москва, тел.: + 7 495 956 9908/9901, julia.belskayavontell@fitchratings.com</w:t>
        </w:r>
      </w:hyperlink>
    </w:p>
    <w:bookmarkStart w:id="0" w:name="_GoBack"/>
    <w:bookmarkEnd w:id="0"/>
    <w:p w:rsidR="00427CD3" w:rsidRPr="00427CD3" w:rsidRDefault="00601ACC" w:rsidP="00427CD3">
      <w:pPr>
        <w:spacing w:before="100" w:beforeAutospacing="1" w:after="100" w:afterAutospacing="1" w:line="240" w:lineRule="auto"/>
        <w:rPr>
          <w:rFonts w:ascii="Times New Roman" w:eastAsia="Times New Roman" w:hAnsi="Times New Roman" w:cs="Times New Roman"/>
          <w:sz w:val="24"/>
          <w:szCs w:val="24"/>
          <w:lang w:val="en-US" w:eastAsia="ru-RU"/>
        </w:rPr>
      </w:pPr>
      <w:r w:rsidRPr="00427CD3">
        <w:rPr>
          <w:rFonts w:ascii="Times New Roman" w:eastAsia="Times New Roman" w:hAnsi="Times New Roman" w:cs="Times New Roman"/>
          <w:sz w:val="24"/>
          <w:szCs w:val="24"/>
          <w:lang w:eastAsia="ru-RU"/>
        </w:rPr>
        <w:fldChar w:fldCharType="begin"/>
      </w:r>
      <w:r w:rsidR="00427CD3" w:rsidRPr="00427CD3">
        <w:rPr>
          <w:rFonts w:ascii="Times New Roman" w:eastAsia="Times New Roman" w:hAnsi="Times New Roman" w:cs="Times New Roman"/>
          <w:sz w:val="24"/>
          <w:szCs w:val="24"/>
          <w:lang w:val="en-US" w:eastAsia="ru-RU"/>
        </w:rPr>
        <w:instrText xml:space="preserve"> HYPERLINK "https://www.fitchratings.com/creditdesk/press_releases/detail.cfm?pr_id=982108" </w:instrText>
      </w:r>
      <w:r w:rsidRPr="00427CD3">
        <w:rPr>
          <w:rFonts w:ascii="Times New Roman" w:eastAsia="Times New Roman" w:hAnsi="Times New Roman" w:cs="Times New Roman"/>
          <w:sz w:val="24"/>
          <w:szCs w:val="24"/>
          <w:lang w:eastAsia="ru-RU"/>
        </w:rPr>
        <w:fldChar w:fldCharType="separate"/>
      </w:r>
      <w:r w:rsidR="00427CD3" w:rsidRPr="00542A72">
        <w:rPr>
          <w:rFonts w:ascii="Times New Roman" w:eastAsia="Times New Roman" w:hAnsi="Times New Roman" w:cs="Times New Roman"/>
          <w:color w:val="000000"/>
          <w:sz w:val="24"/>
          <w:szCs w:val="24"/>
          <w:lang w:val="en-US" w:eastAsia="ru-RU"/>
        </w:rPr>
        <w:t>Media Relations: Julia Belskaya von Tell, Moscow, Tel: +7 495 956 9908, Email: julia.belskayavontell@fitchratings.com.</w:t>
      </w:r>
      <w:r w:rsidRPr="00427CD3">
        <w:rPr>
          <w:rFonts w:ascii="Times New Roman" w:eastAsia="Times New Roman" w:hAnsi="Times New Roman" w:cs="Times New Roman"/>
          <w:sz w:val="24"/>
          <w:szCs w:val="24"/>
          <w:lang w:eastAsia="ru-RU"/>
        </w:rPr>
        <w:fldChar w:fldCharType="end"/>
      </w:r>
    </w:p>
    <w:p w:rsidR="00427CD3" w:rsidRPr="00427CD3" w:rsidRDefault="00427CD3" w:rsidP="00820C0A">
      <w:pPr>
        <w:spacing w:before="100" w:beforeAutospacing="1" w:after="100" w:afterAutospacing="1" w:line="240" w:lineRule="auto"/>
        <w:rPr>
          <w:rFonts w:ascii="Times New Roman" w:eastAsia="Times New Roman" w:hAnsi="Times New Roman" w:cs="Times New Roman"/>
          <w:b/>
          <w:bCs/>
          <w:color w:val="A52A2A"/>
          <w:sz w:val="33"/>
          <w:szCs w:val="33"/>
          <w:lang w:val="en-US" w:eastAsia="ru-RU"/>
        </w:rPr>
      </w:pPr>
    </w:p>
    <w:p w:rsidR="00820C0A" w:rsidRPr="00820C0A" w:rsidRDefault="00820C0A" w:rsidP="00820C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20C0A">
        <w:rPr>
          <w:rFonts w:ascii="Times New Roman" w:eastAsia="Times New Roman" w:hAnsi="Times New Roman" w:cs="Times New Roman"/>
          <w:b/>
          <w:bCs/>
          <w:color w:val="A52A2A"/>
          <w:sz w:val="33"/>
          <w:szCs w:val="33"/>
          <w:lang w:eastAsia="ru-RU"/>
        </w:rPr>
        <w:t>Fitch</w:t>
      </w:r>
      <w:proofErr w:type="spellEnd"/>
      <w:r w:rsidRPr="00820C0A">
        <w:rPr>
          <w:rFonts w:ascii="Times New Roman" w:eastAsia="Times New Roman" w:hAnsi="Times New Roman" w:cs="Times New Roman"/>
          <w:b/>
          <w:bCs/>
          <w:color w:val="A52A2A"/>
          <w:sz w:val="33"/>
          <w:szCs w:val="33"/>
          <w:lang w:eastAsia="ru-RU"/>
        </w:rPr>
        <w:t xml:space="preserve"> </w:t>
      </w:r>
      <w:proofErr w:type="spellStart"/>
      <w:r w:rsidRPr="00820C0A">
        <w:rPr>
          <w:rFonts w:ascii="Times New Roman" w:eastAsia="Times New Roman" w:hAnsi="Times New Roman" w:cs="Times New Roman"/>
          <w:b/>
          <w:bCs/>
          <w:color w:val="A52A2A"/>
          <w:sz w:val="33"/>
          <w:szCs w:val="33"/>
          <w:lang w:eastAsia="ru-RU"/>
        </w:rPr>
        <w:t>Ratings</w:t>
      </w:r>
      <w:proofErr w:type="spellEnd"/>
      <w:r w:rsidRPr="00820C0A">
        <w:rPr>
          <w:rFonts w:ascii="Times New Roman" w:eastAsia="Times New Roman" w:hAnsi="Times New Roman" w:cs="Times New Roman"/>
          <w:b/>
          <w:bCs/>
          <w:color w:val="A52A2A"/>
          <w:sz w:val="33"/>
          <w:szCs w:val="33"/>
          <w:lang w:eastAsia="ru-RU"/>
        </w:rPr>
        <w:t>: 2016 год - Липецкая область на уровне «BB», прогноз «стабильный»</w:t>
      </w:r>
    </w:p>
    <w:p w:rsidR="00820C0A" w:rsidRPr="00820C0A" w:rsidRDefault="00601ACC" w:rsidP="00820C0A">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proofErr w:type="spellStart"/>
        <w:r w:rsidR="00820C0A" w:rsidRPr="00820C0A">
          <w:rPr>
            <w:rFonts w:ascii="Times New Roman" w:eastAsia="Times New Roman" w:hAnsi="Times New Roman" w:cs="Times New Roman"/>
            <w:color w:val="0000FF"/>
            <w:sz w:val="24"/>
            <w:szCs w:val="24"/>
            <w:u w:val="single"/>
            <w:lang w:eastAsia="ru-RU"/>
          </w:rPr>
          <w:t>Fitch</w:t>
        </w:r>
        <w:proofErr w:type="spellEnd"/>
        <w:r w:rsidR="00820C0A" w:rsidRPr="00820C0A">
          <w:rPr>
            <w:rFonts w:ascii="Times New Roman" w:eastAsia="Times New Roman" w:hAnsi="Times New Roman" w:cs="Times New Roman"/>
            <w:color w:val="0000FF"/>
            <w:sz w:val="24"/>
            <w:szCs w:val="24"/>
            <w:u w:val="single"/>
            <w:lang w:eastAsia="ru-RU"/>
          </w:rPr>
          <w:t xml:space="preserve"> Ratings-Москва/Лондон-18 марта 2016 г. </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23" w:history="1">
        <w:proofErr w:type="spellStart"/>
        <w:r w:rsidR="00820C0A" w:rsidRPr="00820C0A">
          <w:rPr>
            <w:rFonts w:ascii="Times New Roman" w:eastAsia="Times New Roman" w:hAnsi="Times New Roman" w:cs="Times New Roman"/>
            <w:color w:val="000000"/>
            <w:lang w:eastAsia="ru-RU"/>
          </w:rPr>
          <w:t>Fitch</w:t>
        </w:r>
        <w:proofErr w:type="spellEnd"/>
        <w:r w:rsidR="00820C0A" w:rsidRPr="00820C0A">
          <w:rPr>
            <w:rFonts w:ascii="Times New Roman" w:eastAsia="Times New Roman" w:hAnsi="Times New Roman" w:cs="Times New Roman"/>
            <w:color w:val="000000"/>
            <w:lang w:eastAsia="ru-RU"/>
          </w:rPr>
          <w:t xml:space="preserve"> </w:t>
        </w:r>
        <w:proofErr w:type="spellStart"/>
        <w:r w:rsidR="00820C0A" w:rsidRPr="00820C0A">
          <w:rPr>
            <w:rFonts w:ascii="Times New Roman" w:eastAsia="Times New Roman" w:hAnsi="Times New Roman" w:cs="Times New Roman"/>
            <w:color w:val="000000"/>
            <w:lang w:eastAsia="ru-RU"/>
          </w:rPr>
          <w:t>Ratings</w:t>
        </w:r>
        <w:proofErr w:type="spellEnd"/>
        <w:r w:rsidR="00820C0A" w:rsidRPr="00820C0A">
          <w:rPr>
            <w:rFonts w:ascii="Times New Roman" w:eastAsia="Times New Roman" w:hAnsi="Times New Roman" w:cs="Times New Roman"/>
            <w:color w:val="000000"/>
            <w:lang w:eastAsia="ru-RU"/>
          </w:rPr>
          <w:t xml:space="preserve"> подтвердило рейтинги Липецкой области Российской Федерации: долгосрочные рейтинги дефолта эмитента («РДЭ») в иностранной и национальной валюте на уровне «BB», краткосрочный РДЭ в иностранной валюте «B» и национальный долгосрочный рейтинг региона «AA-(</w:t>
        </w:r>
        <w:proofErr w:type="spellStart"/>
        <w:r w:rsidR="00820C0A" w:rsidRPr="00820C0A">
          <w:rPr>
            <w:rFonts w:ascii="Times New Roman" w:eastAsia="Times New Roman" w:hAnsi="Times New Roman" w:cs="Times New Roman"/>
            <w:color w:val="000000"/>
            <w:lang w:eastAsia="ru-RU"/>
          </w:rPr>
          <w:t>rus</w:t>
        </w:r>
        <w:proofErr w:type="spellEnd"/>
        <w:r w:rsidR="00820C0A" w:rsidRPr="00820C0A">
          <w:rPr>
            <w:rFonts w:ascii="Times New Roman" w:eastAsia="Times New Roman" w:hAnsi="Times New Roman" w:cs="Times New Roman"/>
            <w:color w:val="000000"/>
            <w:lang w:eastAsia="ru-RU"/>
          </w:rPr>
          <w:t>)». Прогноз по долгосрочным рейтингам – «Стабильный». Также агентство подтвердило рейтинги приоритетных необеспеченных облигаций региона, находящихся в обращении на внутреннем рынке, на уровнях «BB» и «AA-(</w:t>
        </w:r>
        <w:proofErr w:type="spellStart"/>
        <w:r w:rsidR="00820C0A" w:rsidRPr="00820C0A">
          <w:rPr>
            <w:rFonts w:ascii="Times New Roman" w:eastAsia="Times New Roman" w:hAnsi="Times New Roman" w:cs="Times New Roman"/>
            <w:color w:val="000000"/>
            <w:lang w:eastAsia="ru-RU"/>
          </w:rPr>
          <w:t>rus</w:t>
        </w:r>
        <w:proofErr w:type="spellEnd"/>
        <w:r w:rsidR="00820C0A" w:rsidRPr="00820C0A">
          <w:rPr>
            <w:rFonts w:ascii="Times New Roman" w:eastAsia="Times New Roman" w:hAnsi="Times New Roman" w:cs="Times New Roman"/>
            <w:color w:val="000000"/>
            <w:lang w:eastAsia="ru-RU"/>
          </w:rPr>
          <w:t>)».</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24" w:history="1">
        <w:r w:rsidR="00820C0A" w:rsidRPr="00820C0A">
          <w:rPr>
            <w:rFonts w:ascii="Times New Roman" w:eastAsia="Times New Roman" w:hAnsi="Times New Roman" w:cs="Times New Roman"/>
            <w:color w:val="000000"/>
            <w:lang w:eastAsia="ru-RU"/>
          </w:rPr>
          <w:t xml:space="preserve">Подтверждение рейтингов отражает улучшение бюджетных показателей Липецкой области, хотя они остаются </w:t>
        </w:r>
        <w:proofErr w:type="spellStart"/>
        <w:r w:rsidR="00820C0A" w:rsidRPr="00820C0A">
          <w:rPr>
            <w:rFonts w:ascii="Times New Roman" w:eastAsia="Times New Roman" w:hAnsi="Times New Roman" w:cs="Times New Roman"/>
            <w:color w:val="000000"/>
            <w:lang w:eastAsia="ru-RU"/>
          </w:rPr>
          <w:t>волатильными</w:t>
        </w:r>
        <w:proofErr w:type="spellEnd"/>
        <w:r w:rsidR="00820C0A" w:rsidRPr="00820C0A">
          <w:rPr>
            <w:rFonts w:ascii="Times New Roman" w:eastAsia="Times New Roman" w:hAnsi="Times New Roman" w:cs="Times New Roman"/>
            <w:color w:val="000000"/>
            <w:lang w:eastAsia="ru-RU"/>
          </w:rPr>
          <w:t>, а также учитывает укрепление ликвидности на фоне более высоких налоговых поступлений в 2015 г. и умеренный уровень долга.</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25" w:history="1">
        <w:r w:rsidR="00820C0A" w:rsidRPr="00820C0A">
          <w:rPr>
            <w:rFonts w:ascii="Times New Roman" w:eastAsia="Times New Roman" w:hAnsi="Times New Roman" w:cs="Times New Roman"/>
            <w:b/>
            <w:bCs/>
            <w:color w:val="000000"/>
            <w:lang w:eastAsia="ru-RU"/>
          </w:rPr>
          <w:t>КЛЮЧЕВЫЕ РЕЙТИНГОВЫЕ ФАКТОРЫ</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26" w:history="1">
        <w:r w:rsidR="00820C0A" w:rsidRPr="00820C0A">
          <w:rPr>
            <w:rFonts w:ascii="Times New Roman" w:eastAsia="Times New Roman" w:hAnsi="Times New Roman" w:cs="Times New Roman"/>
            <w:color w:val="000000"/>
            <w:lang w:eastAsia="ru-RU"/>
          </w:rPr>
          <w:t xml:space="preserve">Рейтинги отражают ожидаемое снижение бюджетных показателей области, хорошую ликвидность и растущий прямой риск (прямой долг плюс прочая задолженность по классификации </w:t>
        </w:r>
        <w:proofErr w:type="spellStart"/>
        <w:r w:rsidR="00820C0A" w:rsidRPr="00820C0A">
          <w:rPr>
            <w:rFonts w:ascii="Times New Roman" w:eastAsia="Times New Roman" w:hAnsi="Times New Roman" w:cs="Times New Roman"/>
            <w:color w:val="000000"/>
            <w:lang w:eastAsia="ru-RU"/>
          </w:rPr>
          <w:t>Fitch</w:t>
        </w:r>
        <w:proofErr w:type="spellEnd"/>
        <w:r w:rsidR="00820C0A" w:rsidRPr="00820C0A">
          <w:rPr>
            <w:rFonts w:ascii="Times New Roman" w:eastAsia="Times New Roman" w:hAnsi="Times New Roman" w:cs="Times New Roman"/>
            <w:color w:val="000000"/>
            <w:lang w:eastAsia="ru-RU"/>
          </w:rPr>
          <w:t>) с управляемым риском рефинансирования. Также рейтинги учитывают высокую концентрацию областной экономики на черной металлургии, что делает регион зависимым от колебаний на рынке стали и обуславливает волатильность налоговых доходов.</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27" w:history="1">
        <w:proofErr w:type="spellStart"/>
        <w:r w:rsidR="00820C0A" w:rsidRPr="00820C0A">
          <w:rPr>
            <w:rFonts w:ascii="Times New Roman" w:eastAsia="Times New Roman" w:hAnsi="Times New Roman" w:cs="Times New Roman"/>
            <w:color w:val="000000"/>
            <w:lang w:eastAsia="ru-RU"/>
          </w:rPr>
          <w:t>Fitch</w:t>
        </w:r>
        <w:proofErr w:type="spellEnd"/>
        <w:r w:rsidR="00820C0A" w:rsidRPr="00820C0A">
          <w:rPr>
            <w:rFonts w:ascii="Times New Roman" w:eastAsia="Times New Roman" w:hAnsi="Times New Roman" w:cs="Times New Roman"/>
            <w:color w:val="000000"/>
            <w:lang w:eastAsia="ru-RU"/>
          </w:rPr>
          <w:t xml:space="preserve"> прогнозирует, что операционный баланс Липецкой области сократится до 8%-10% от операционных доходов в среднесрочной перспективе, но останется на уровне среднего значения за 5 лет (9,7%). Операционная маржа достигла максимума 14%-15% в 2014-2015 гг. в результате налоговых поступлений от стальной отрасли. Крупнейший налогоплательщик региона, ПАО Новолипецкий металлургический комбинат («BBB-»/прогноз «Негативный»), ориентирован на экспорт и получил преимущества от падения курса рубля (средний курс составил 61,4 руб./долл. в 2015 г. против 38,6 в 2014 г.), обусловив рост поступлений от налога на прибыль организаций на 36% в 2015 г.</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28" w:history="1">
        <w:proofErr w:type="spellStart"/>
        <w:r w:rsidR="00820C0A" w:rsidRPr="00820C0A">
          <w:rPr>
            <w:rFonts w:ascii="Times New Roman" w:eastAsia="Times New Roman" w:hAnsi="Times New Roman" w:cs="Times New Roman"/>
            <w:color w:val="000000"/>
            <w:lang w:eastAsia="ru-RU"/>
          </w:rPr>
          <w:t>Fitch</w:t>
        </w:r>
        <w:proofErr w:type="spellEnd"/>
        <w:r w:rsidR="00820C0A" w:rsidRPr="00820C0A">
          <w:rPr>
            <w:rFonts w:ascii="Times New Roman" w:eastAsia="Times New Roman" w:hAnsi="Times New Roman" w:cs="Times New Roman"/>
            <w:color w:val="000000"/>
            <w:lang w:eastAsia="ru-RU"/>
          </w:rPr>
          <w:t xml:space="preserve"> считает, что волатильность региональных финансов частично сглаживается взвешенной политикой администрации, которая накапливает незапланированные налоговые поступления и держит операционные расходы под контролем. В результате остатки на счетах области увеличились в 5,4 раза в 2014-2015 гг. до 7,3 млрд. руб., что покрывало 37% прямого риска на конец 2015 г.</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29" w:history="1">
        <w:r w:rsidR="00820C0A" w:rsidRPr="00820C0A">
          <w:rPr>
            <w:rFonts w:ascii="Times New Roman" w:eastAsia="Times New Roman" w:hAnsi="Times New Roman" w:cs="Times New Roman"/>
            <w:color w:val="000000"/>
            <w:lang w:eastAsia="ru-RU"/>
          </w:rPr>
          <w:t xml:space="preserve">По прогнозам агентства, регион будет иметь умеренный дефицит бюджета до движения долга на уровне около 6% от всех доходов в 2016-2018 гг. Часть дефицита будет профинансирована за счет накопленных средств. В 2015 г. Липецкая область достигла </w:t>
        </w:r>
        <w:r w:rsidR="00820C0A" w:rsidRPr="00820C0A">
          <w:rPr>
            <w:rFonts w:ascii="Times New Roman" w:eastAsia="Times New Roman" w:hAnsi="Times New Roman" w:cs="Times New Roman"/>
            <w:color w:val="000000"/>
            <w:lang w:eastAsia="ru-RU"/>
          </w:rPr>
          <w:lastRenderedPageBreak/>
          <w:t>сбалансированного бюджета (в 2014 г.: дефицит 0,2%), в то время как в 2011-2013 гг. дефицит в среднем составлял 8,5%.</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30" w:history="1">
        <w:r w:rsidR="00820C0A" w:rsidRPr="00820C0A">
          <w:rPr>
            <w:rFonts w:ascii="Times New Roman" w:eastAsia="Times New Roman" w:hAnsi="Times New Roman" w:cs="Times New Roman"/>
            <w:color w:val="000000"/>
            <w:lang w:eastAsia="ru-RU"/>
          </w:rPr>
          <w:t>Агентство ожидает, что прямой риск региона вырастет в 2017-2018 гг., но останется на уровне менее 50% от текущих доходов. В 2015 г. прямой риск снизился до 43,2% с 45,9% в 2014 г. ввиду боле высоких налоговых поступлений. Давление в плане рефинансирования является умеренным, так как область имеет равномерную структуру погашения со сроками, распределенными до 2020 г. К концу 2016 г. Липецкой области необходимо погасить долг в размере 4,3 млрд. руб., что соответствует 22% ее прямого риска. Половина от этого объема будет рефинансирована за счет нового кредита из федерального бюджета на 2,1 млрд. руб., а остальная часть будет покрыта остатками на счетах региона.</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31" w:history="1">
        <w:r w:rsidR="00820C0A" w:rsidRPr="00820C0A">
          <w:rPr>
            <w:rFonts w:ascii="Times New Roman" w:eastAsia="Times New Roman" w:hAnsi="Times New Roman" w:cs="Times New Roman"/>
            <w:color w:val="000000"/>
            <w:lang w:eastAsia="ru-RU"/>
          </w:rPr>
          <w:t>Кредитоспособность региона продолжает сдерживаться слабой институциональной средой для российских субнациональных образований. Эта среда имеет более короткую историю стабильного развития, чем у многих сопоставимых международных эмитентов. Прогнозируемость бюджетной политики российских местных и региональных органов власти сдерживается частым перераспределением доходных и расходных полномочий между бюджетами различных уровней.</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32" w:history="1">
        <w:r w:rsidR="00820C0A" w:rsidRPr="00820C0A">
          <w:rPr>
            <w:rFonts w:ascii="Times New Roman" w:eastAsia="Times New Roman" w:hAnsi="Times New Roman" w:cs="Times New Roman"/>
            <w:color w:val="000000"/>
            <w:lang w:eastAsia="ru-RU"/>
          </w:rPr>
          <w:t>Липецкая область обладает развитой экономикой при показателях благосостояния на уровне медианы в стране. В 2015 г. валовый региональный продукт сократился на 0,3%, что лучше показателей российской экономики (падение на 3,7%) за счет хороших показателей металлургического сектора. На долю черной металлургии пришлось 58% промышленного производства и свыше 40% всех налоговых поступлений области в 2015 г., что делает областную экономику уязвимой к колебаниям на внутреннем и международном рынках стали.</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33" w:history="1">
        <w:r w:rsidR="00820C0A" w:rsidRPr="00820C0A">
          <w:rPr>
            <w:rFonts w:ascii="Times New Roman" w:eastAsia="Times New Roman" w:hAnsi="Times New Roman" w:cs="Times New Roman"/>
            <w:color w:val="000000"/>
            <w:lang w:eastAsia="ru-RU"/>
          </w:rPr>
          <w:t>ФАКТОРЫ, КОТОРЫЕ МОГУТ ВЛИЯТЬ НА РЕЙТИНГИ В БУДУЩЕМ</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34" w:history="1">
        <w:r w:rsidR="00820C0A" w:rsidRPr="00820C0A">
          <w:rPr>
            <w:rFonts w:ascii="Times New Roman" w:eastAsia="Times New Roman" w:hAnsi="Times New Roman" w:cs="Times New Roman"/>
            <w:color w:val="000000"/>
            <w:lang w:eastAsia="ru-RU"/>
          </w:rPr>
          <w:t>Сильный операционный баланс на уровне около 15% от операционных доходов на устойчивой основе в сочетании с обеспеченностью долга (прямой риск к текущему балансу) менее четырех лет может обусловить позитивное рейтинговое действие.</w:t>
        </w:r>
      </w:hyperlink>
    </w:p>
    <w:p w:rsidR="00820C0A" w:rsidRPr="00820C0A" w:rsidRDefault="00601ACC" w:rsidP="00820C0A">
      <w:pPr>
        <w:spacing w:before="100" w:beforeAutospacing="1" w:after="100" w:afterAutospacing="1" w:line="240" w:lineRule="auto"/>
        <w:ind w:firstLine="709"/>
        <w:jc w:val="both"/>
        <w:rPr>
          <w:rFonts w:ascii="Times New Roman" w:eastAsia="Times New Roman" w:hAnsi="Times New Roman" w:cs="Times New Roman"/>
          <w:lang w:eastAsia="ru-RU"/>
        </w:rPr>
      </w:pPr>
      <w:hyperlink r:id="rId35" w:history="1">
        <w:r w:rsidR="00820C0A" w:rsidRPr="00820C0A">
          <w:rPr>
            <w:rFonts w:ascii="Times New Roman" w:eastAsia="Times New Roman" w:hAnsi="Times New Roman" w:cs="Times New Roman"/>
            <w:color w:val="000000"/>
            <w:lang w:eastAsia="ru-RU"/>
          </w:rPr>
          <w:t>Рост прямого риска до более 60% от текущих доходов в результате увеличения дефицита до движения долга может привести к негативному рейтинговому действию.</w:t>
        </w:r>
      </w:hyperlink>
    </w:p>
    <w:p w:rsidR="00820C0A" w:rsidRPr="00820C0A" w:rsidRDefault="00820C0A" w:rsidP="00820C0A">
      <w:pPr>
        <w:spacing w:after="0" w:line="240" w:lineRule="auto"/>
        <w:rPr>
          <w:rFonts w:ascii="Times New Roman" w:eastAsia="Times New Roman" w:hAnsi="Times New Roman" w:cs="Times New Roman"/>
          <w:lang w:eastAsia="ru-RU"/>
        </w:rPr>
      </w:pPr>
      <w:r w:rsidRPr="00820C0A">
        <w:rPr>
          <w:rFonts w:ascii="Times New Roman" w:eastAsia="Times New Roman" w:hAnsi="Times New Roman" w:cs="Times New Roman"/>
          <w:lang w:eastAsia="ru-RU"/>
        </w:rPr>
        <w:t>Контакты:</w:t>
      </w:r>
    </w:p>
    <w:p w:rsidR="00820C0A" w:rsidRPr="00820C0A" w:rsidRDefault="00820C0A" w:rsidP="00820C0A">
      <w:pPr>
        <w:spacing w:after="0" w:line="240" w:lineRule="auto"/>
        <w:rPr>
          <w:rFonts w:ascii="Times New Roman" w:eastAsia="Times New Roman" w:hAnsi="Times New Roman" w:cs="Times New Roman"/>
          <w:lang w:eastAsia="ru-RU"/>
        </w:rPr>
      </w:pPr>
      <w:proofErr w:type="spellStart"/>
      <w:r w:rsidRPr="00820C0A">
        <w:rPr>
          <w:rFonts w:ascii="Times New Roman" w:eastAsia="Times New Roman" w:hAnsi="Times New Roman" w:cs="Times New Roman"/>
          <w:lang w:eastAsia="ru-RU"/>
        </w:rPr>
        <w:t>Фитч</w:t>
      </w:r>
      <w:proofErr w:type="spellEnd"/>
      <w:r w:rsidRPr="00820C0A">
        <w:rPr>
          <w:rFonts w:ascii="Times New Roman" w:eastAsia="Times New Roman" w:hAnsi="Times New Roman" w:cs="Times New Roman"/>
          <w:lang w:eastAsia="ru-RU"/>
        </w:rPr>
        <w:t xml:space="preserve"> </w:t>
      </w:r>
      <w:proofErr w:type="spellStart"/>
      <w:r w:rsidRPr="00820C0A">
        <w:rPr>
          <w:rFonts w:ascii="Times New Roman" w:eastAsia="Times New Roman" w:hAnsi="Times New Roman" w:cs="Times New Roman"/>
          <w:lang w:eastAsia="ru-RU"/>
        </w:rPr>
        <w:t>Рейтингз</w:t>
      </w:r>
      <w:proofErr w:type="spellEnd"/>
      <w:r w:rsidRPr="00820C0A">
        <w:rPr>
          <w:rFonts w:ascii="Times New Roman" w:eastAsia="Times New Roman" w:hAnsi="Times New Roman" w:cs="Times New Roman"/>
          <w:lang w:eastAsia="ru-RU"/>
        </w:rPr>
        <w:t xml:space="preserve"> СНГ Лтд</w:t>
      </w:r>
      <w:r w:rsidRPr="00820C0A">
        <w:rPr>
          <w:rFonts w:ascii="Times New Roman" w:eastAsia="Times New Roman" w:hAnsi="Times New Roman" w:cs="Times New Roman"/>
          <w:lang w:eastAsia="ru-RU"/>
        </w:rPr>
        <w:br/>
        <w:t>26, ул. Валовая</w:t>
      </w:r>
    </w:p>
    <w:p w:rsidR="00820C0A" w:rsidRPr="00820C0A" w:rsidRDefault="00820C0A" w:rsidP="00820C0A">
      <w:pPr>
        <w:spacing w:after="0" w:line="240" w:lineRule="auto"/>
        <w:rPr>
          <w:rFonts w:ascii="Times New Roman" w:eastAsia="Times New Roman" w:hAnsi="Times New Roman" w:cs="Times New Roman"/>
          <w:lang w:eastAsia="ru-RU"/>
        </w:rPr>
      </w:pPr>
      <w:r w:rsidRPr="00820C0A">
        <w:rPr>
          <w:rFonts w:ascii="Times New Roman" w:eastAsia="Times New Roman" w:hAnsi="Times New Roman" w:cs="Times New Roman"/>
          <w:lang w:eastAsia="ru-RU"/>
        </w:rPr>
        <w:t>Москва 115054</w:t>
      </w:r>
    </w:p>
    <w:p w:rsidR="00820C0A" w:rsidRPr="00820C0A" w:rsidRDefault="00820C0A" w:rsidP="00820C0A">
      <w:pPr>
        <w:spacing w:after="0" w:line="240" w:lineRule="auto"/>
        <w:rPr>
          <w:rFonts w:ascii="Times New Roman" w:eastAsia="Times New Roman" w:hAnsi="Times New Roman" w:cs="Times New Roman"/>
          <w:lang w:eastAsia="ru-RU"/>
        </w:rPr>
      </w:pPr>
      <w:r w:rsidRPr="00820C0A">
        <w:rPr>
          <w:rFonts w:ascii="Times New Roman" w:eastAsia="Times New Roman" w:hAnsi="Times New Roman" w:cs="Times New Roman"/>
          <w:lang w:eastAsia="ru-RU"/>
        </w:rPr>
        <w:t>Первый аналитик</w:t>
      </w:r>
      <w:r w:rsidRPr="00820C0A">
        <w:rPr>
          <w:rFonts w:ascii="Times New Roman" w:eastAsia="Times New Roman" w:hAnsi="Times New Roman" w:cs="Times New Roman"/>
          <w:lang w:eastAsia="ru-RU"/>
        </w:rPr>
        <w:br/>
        <w:t>Алексей Кобылянский</w:t>
      </w:r>
      <w:r w:rsidRPr="00820C0A">
        <w:rPr>
          <w:rFonts w:ascii="Times New Roman" w:eastAsia="Times New Roman" w:hAnsi="Times New Roman" w:cs="Times New Roman"/>
          <w:lang w:eastAsia="ru-RU"/>
        </w:rPr>
        <w:br/>
        <w:t>Аналитик</w:t>
      </w:r>
      <w:r w:rsidRPr="00820C0A">
        <w:rPr>
          <w:rFonts w:ascii="Times New Roman" w:eastAsia="Times New Roman" w:hAnsi="Times New Roman" w:cs="Times New Roman"/>
          <w:lang w:eastAsia="ru-RU"/>
        </w:rPr>
        <w:br/>
        <w:t>+7 495 956 99 80</w:t>
      </w:r>
    </w:p>
    <w:p w:rsidR="00820C0A" w:rsidRDefault="00820C0A" w:rsidP="0086267F">
      <w:pPr>
        <w:pStyle w:val="a3"/>
        <w:spacing w:line="252" w:lineRule="atLeast"/>
        <w:rPr>
          <w:color w:val="444444"/>
          <w:sz w:val="21"/>
          <w:szCs w:val="21"/>
          <w:lang w:val="ru-RU"/>
        </w:rPr>
      </w:pPr>
    </w:p>
    <w:p w:rsidR="0086267F" w:rsidRPr="00820C0A" w:rsidRDefault="00601ACC" w:rsidP="0086267F">
      <w:pPr>
        <w:pStyle w:val="a3"/>
        <w:spacing w:line="252" w:lineRule="atLeast"/>
        <w:rPr>
          <w:color w:val="444444"/>
          <w:sz w:val="21"/>
          <w:szCs w:val="21"/>
          <w:lang w:val="ru-RU"/>
        </w:rPr>
      </w:pPr>
      <w:r>
        <w:fldChar w:fldCharType="begin"/>
      </w:r>
      <w:r>
        <w:instrText>HYPERLINK</w:instrText>
      </w:r>
      <w:r w:rsidRPr="00BA24A1">
        <w:rPr>
          <w:lang w:val="ru-RU"/>
        </w:rPr>
        <w:instrText xml:space="preserve"> "</w:instrText>
      </w:r>
      <w:r>
        <w:instrText>https</w:instrText>
      </w:r>
      <w:r w:rsidRPr="00BA24A1">
        <w:rPr>
          <w:lang w:val="ru-RU"/>
        </w:rPr>
        <w:instrText>://</w:instrText>
      </w:r>
      <w:r>
        <w:instrText>www</w:instrText>
      </w:r>
      <w:r w:rsidRPr="00BA24A1">
        <w:rPr>
          <w:lang w:val="ru-RU"/>
        </w:rPr>
        <w:instrText>.</w:instrText>
      </w:r>
      <w:r>
        <w:instrText>fitchratings</w:instrText>
      </w:r>
      <w:r w:rsidRPr="00BA24A1">
        <w:rPr>
          <w:lang w:val="ru-RU"/>
        </w:rPr>
        <w:instrText>.</w:instrText>
      </w:r>
      <w:r>
        <w:instrText>com</w:instrText>
      </w:r>
      <w:r w:rsidRPr="00BA24A1">
        <w:rPr>
          <w:lang w:val="ru-RU"/>
        </w:rPr>
        <w:instrText>/</w:instrText>
      </w:r>
      <w:r>
        <w:instrText>creditdesk</w:instrText>
      </w:r>
      <w:r w:rsidRPr="00BA24A1">
        <w:rPr>
          <w:lang w:val="ru-RU"/>
        </w:rPr>
        <w:instrText>/</w:instrText>
      </w:r>
      <w:r>
        <w:instrText>press</w:instrText>
      </w:r>
      <w:r w:rsidRPr="00BA24A1">
        <w:rPr>
          <w:lang w:val="ru-RU"/>
        </w:rPr>
        <w:instrText>_</w:instrText>
      </w:r>
      <w:r>
        <w:instrText>releases</w:instrText>
      </w:r>
      <w:r w:rsidRPr="00BA24A1">
        <w:rPr>
          <w:lang w:val="ru-RU"/>
        </w:rPr>
        <w:instrText>/</w:instrText>
      </w:r>
      <w:r>
        <w:instrText>detail</w:instrText>
      </w:r>
      <w:r w:rsidRPr="00BA24A1">
        <w:rPr>
          <w:lang w:val="ru-RU"/>
        </w:rPr>
        <w:instrText>.</w:instrText>
      </w:r>
      <w:r>
        <w:instrText>cfm</w:instrText>
      </w:r>
      <w:r w:rsidRPr="00BA24A1">
        <w:rPr>
          <w:lang w:val="ru-RU"/>
        </w:rPr>
        <w:instrText>?</w:instrText>
      </w:r>
      <w:r>
        <w:instrText>pr</w:instrText>
      </w:r>
      <w:r w:rsidRPr="00BA24A1">
        <w:rPr>
          <w:lang w:val="ru-RU"/>
        </w:rPr>
        <w:instrText>_</w:instrText>
      </w:r>
      <w:r>
        <w:instrText>id</w:instrText>
      </w:r>
      <w:r w:rsidRPr="00BA24A1">
        <w:rPr>
          <w:lang w:val="ru-RU"/>
        </w:rPr>
        <w:instrText>=982108"</w:instrText>
      </w:r>
      <w:r>
        <w:fldChar w:fldCharType="separate"/>
      </w:r>
      <w:r w:rsidR="0086267F">
        <w:rPr>
          <w:rStyle w:val="a4"/>
          <w:sz w:val="21"/>
          <w:szCs w:val="21"/>
        </w:rPr>
        <w:t>Fitch</w:t>
      </w:r>
      <w:r w:rsidR="0086267F" w:rsidRPr="00820C0A">
        <w:rPr>
          <w:rStyle w:val="a4"/>
          <w:sz w:val="21"/>
          <w:szCs w:val="21"/>
          <w:lang w:val="ru-RU"/>
        </w:rPr>
        <w:t xml:space="preserve"> </w:t>
      </w:r>
      <w:r w:rsidR="0086267F">
        <w:rPr>
          <w:rStyle w:val="a4"/>
          <w:sz w:val="21"/>
          <w:szCs w:val="21"/>
        </w:rPr>
        <w:t>Ratings</w:t>
      </w:r>
      <w:r w:rsidR="0086267F" w:rsidRPr="00820C0A">
        <w:rPr>
          <w:rStyle w:val="a4"/>
          <w:sz w:val="21"/>
          <w:szCs w:val="21"/>
          <w:lang w:val="ru-RU"/>
        </w:rPr>
        <w:t xml:space="preserve">-Лондон/Москва/Франкфурт- 28 </w:t>
      </w:r>
      <w:r w:rsidR="0086267F">
        <w:rPr>
          <w:rStyle w:val="a4"/>
          <w:sz w:val="21"/>
          <w:szCs w:val="21"/>
        </w:rPr>
        <w:t>c</w:t>
      </w:r>
      <w:proofErr w:type="spellStart"/>
      <w:r w:rsidR="0086267F" w:rsidRPr="00820C0A">
        <w:rPr>
          <w:rStyle w:val="a4"/>
          <w:sz w:val="21"/>
          <w:szCs w:val="21"/>
          <w:lang w:val="ru-RU"/>
        </w:rPr>
        <w:t>ентября</w:t>
      </w:r>
      <w:proofErr w:type="spellEnd"/>
      <w:r w:rsidR="0086267F">
        <w:rPr>
          <w:rStyle w:val="a4"/>
          <w:sz w:val="21"/>
          <w:szCs w:val="21"/>
        </w:rPr>
        <w:t> </w:t>
      </w:r>
      <w:r w:rsidR="0086267F" w:rsidRPr="00820C0A">
        <w:rPr>
          <w:rStyle w:val="a4"/>
          <w:sz w:val="21"/>
          <w:szCs w:val="21"/>
          <w:lang w:val="ru-RU"/>
        </w:rPr>
        <w:t>2015 г.</w:t>
      </w:r>
      <w:r>
        <w:fldChar w:fldCharType="end"/>
      </w:r>
    </w:p>
    <w:p w:rsidR="0086267F" w:rsidRPr="0086267F" w:rsidRDefault="0086267F" w:rsidP="0086267F">
      <w:pPr>
        <w:pStyle w:val="a3"/>
        <w:spacing w:line="252" w:lineRule="atLeast"/>
        <w:rPr>
          <w:color w:val="444444"/>
          <w:sz w:val="21"/>
          <w:szCs w:val="21"/>
          <w:lang w:val="ru-RU"/>
        </w:rPr>
      </w:pPr>
      <w:r>
        <w:rPr>
          <w:color w:val="444444"/>
          <w:sz w:val="21"/>
          <w:szCs w:val="21"/>
        </w:rPr>
        <w:t>Fitch</w:t>
      </w:r>
      <w:r w:rsidRPr="0086267F">
        <w:rPr>
          <w:color w:val="444444"/>
          <w:sz w:val="21"/>
          <w:szCs w:val="21"/>
          <w:lang w:val="ru-RU"/>
        </w:rPr>
        <w:t xml:space="preserve"> </w:t>
      </w:r>
      <w:r>
        <w:rPr>
          <w:color w:val="444444"/>
          <w:sz w:val="21"/>
          <w:szCs w:val="21"/>
        </w:rPr>
        <w:t>Ratings</w:t>
      </w:r>
      <w:r w:rsidRPr="0086267F">
        <w:rPr>
          <w:color w:val="444444"/>
          <w:sz w:val="21"/>
          <w:szCs w:val="21"/>
          <w:lang w:val="ru-RU"/>
        </w:rPr>
        <w:t xml:space="preserve"> подтвердило рейтинги Липецкой области Российской Федерации: долгосрочные рейтинги дефолта эмитента («РДЭ») в иностранной и национальной валюте на уровне «</w:t>
      </w:r>
      <w:r>
        <w:rPr>
          <w:color w:val="444444"/>
          <w:sz w:val="21"/>
          <w:szCs w:val="21"/>
        </w:rPr>
        <w:t>BB</w:t>
      </w:r>
      <w:r w:rsidRPr="0086267F">
        <w:rPr>
          <w:color w:val="444444"/>
          <w:sz w:val="21"/>
          <w:szCs w:val="21"/>
          <w:lang w:val="ru-RU"/>
        </w:rPr>
        <w:t>» со «Стабильным» прогнозом и краткосрочный РДЭ в иностранной валюте «</w:t>
      </w:r>
      <w:r>
        <w:rPr>
          <w:color w:val="444444"/>
          <w:sz w:val="21"/>
          <w:szCs w:val="21"/>
        </w:rPr>
        <w:t>B</w:t>
      </w:r>
      <w:r w:rsidRPr="0086267F">
        <w:rPr>
          <w:color w:val="444444"/>
          <w:sz w:val="21"/>
          <w:szCs w:val="21"/>
          <w:lang w:val="ru-RU"/>
        </w:rPr>
        <w:t>». Также агентство подтвердило национальный долгосрочный рейтинг региона на уровне «</w:t>
      </w:r>
      <w:r>
        <w:rPr>
          <w:color w:val="444444"/>
          <w:sz w:val="21"/>
          <w:szCs w:val="21"/>
        </w:rPr>
        <w:t>AA</w:t>
      </w:r>
      <w:r w:rsidRPr="0086267F">
        <w:rPr>
          <w:color w:val="444444"/>
          <w:sz w:val="21"/>
          <w:szCs w:val="21"/>
          <w:lang w:val="ru-RU"/>
        </w:rPr>
        <w:t>-(</w:t>
      </w:r>
      <w:proofErr w:type="spellStart"/>
      <w:r>
        <w:rPr>
          <w:color w:val="444444"/>
          <w:sz w:val="21"/>
          <w:szCs w:val="21"/>
        </w:rPr>
        <w:t>rus</w:t>
      </w:r>
      <w:proofErr w:type="spellEnd"/>
      <w:r w:rsidRPr="0086267F">
        <w:rPr>
          <w:color w:val="444444"/>
          <w:sz w:val="21"/>
          <w:szCs w:val="21"/>
          <w:lang w:val="ru-RU"/>
        </w:rPr>
        <w:t>)» со «Стабильным» прогнозом.</w:t>
      </w:r>
    </w:p>
    <w:p w:rsidR="0086267F" w:rsidRPr="0086267F" w:rsidRDefault="0086267F" w:rsidP="0086267F">
      <w:pPr>
        <w:pStyle w:val="a3"/>
        <w:spacing w:line="252" w:lineRule="atLeast"/>
        <w:rPr>
          <w:color w:val="444444"/>
          <w:sz w:val="21"/>
          <w:szCs w:val="21"/>
          <w:lang w:val="ru-RU"/>
        </w:rPr>
      </w:pPr>
      <w:r w:rsidRPr="0086267F">
        <w:rPr>
          <w:color w:val="444444"/>
          <w:sz w:val="21"/>
          <w:szCs w:val="21"/>
          <w:lang w:val="ru-RU"/>
        </w:rPr>
        <w:t>Одновременно агентство подтвердило на уровнях «</w:t>
      </w:r>
      <w:r>
        <w:rPr>
          <w:color w:val="444444"/>
          <w:sz w:val="21"/>
          <w:szCs w:val="21"/>
        </w:rPr>
        <w:t>BB</w:t>
      </w:r>
      <w:r w:rsidRPr="0086267F">
        <w:rPr>
          <w:color w:val="444444"/>
          <w:sz w:val="21"/>
          <w:szCs w:val="21"/>
          <w:lang w:val="ru-RU"/>
        </w:rPr>
        <w:t>» и «</w:t>
      </w:r>
      <w:r>
        <w:rPr>
          <w:color w:val="444444"/>
          <w:sz w:val="21"/>
          <w:szCs w:val="21"/>
        </w:rPr>
        <w:t>AA</w:t>
      </w:r>
      <w:r w:rsidRPr="0086267F">
        <w:rPr>
          <w:color w:val="444444"/>
          <w:sz w:val="21"/>
          <w:szCs w:val="21"/>
          <w:lang w:val="ru-RU"/>
        </w:rPr>
        <w:t>-(</w:t>
      </w:r>
      <w:proofErr w:type="spellStart"/>
      <w:r>
        <w:rPr>
          <w:color w:val="444444"/>
          <w:sz w:val="21"/>
          <w:szCs w:val="21"/>
        </w:rPr>
        <w:t>rus</w:t>
      </w:r>
      <w:proofErr w:type="spellEnd"/>
      <w:r w:rsidRPr="0086267F">
        <w:rPr>
          <w:color w:val="444444"/>
          <w:sz w:val="21"/>
          <w:szCs w:val="21"/>
          <w:lang w:val="ru-RU"/>
        </w:rPr>
        <w:t>)» рейтинги приоритетных необеспеченных облигаций региона, находящихся в обращении на внутреннем рынке.</w:t>
      </w:r>
    </w:p>
    <w:p w:rsidR="0086267F" w:rsidRPr="0086267F" w:rsidRDefault="0086267F" w:rsidP="0086267F">
      <w:pPr>
        <w:pStyle w:val="a3"/>
        <w:spacing w:line="252" w:lineRule="atLeast"/>
        <w:rPr>
          <w:color w:val="444444"/>
          <w:sz w:val="21"/>
          <w:szCs w:val="21"/>
          <w:lang w:val="ru-RU"/>
        </w:rPr>
      </w:pPr>
      <w:r w:rsidRPr="0086267F">
        <w:rPr>
          <w:rStyle w:val="a6"/>
          <w:color w:val="444444"/>
          <w:sz w:val="21"/>
          <w:szCs w:val="21"/>
          <w:lang w:val="ru-RU"/>
        </w:rPr>
        <w:t>КЛЮЧЕВЫЕ РЕЙТИНГОВЫЕ ФАКТОРЫ</w:t>
      </w:r>
    </w:p>
    <w:p w:rsidR="0086267F" w:rsidRPr="0086267F" w:rsidRDefault="0086267F" w:rsidP="0086267F">
      <w:pPr>
        <w:pStyle w:val="a3"/>
        <w:spacing w:line="252" w:lineRule="atLeast"/>
        <w:rPr>
          <w:color w:val="444444"/>
          <w:sz w:val="21"/>
          <w:szCs w:val="21"/>
          <w:lang w:val="ru-RU"/>
        </w:rPr>
      </w:pPr>
      <w:r w:rsidRPr="0086267F">
        <w:rPr>
          <w:color w:val="444444"/>
          <w:sz w:val="21"/>
          <w:szCs w:val="21"/>
          <w:lang w:val="ru-RU"/>
        </w:rPr>
        <w:lastRenderedPageBreak/>
        <w:t xml:space="preserve">Рейтинги отражают умеренный прямой риск Липецкой области (прямой долг плюс прочая задолженность по классификации </w:t>
      </w:r>
      <w:r>
        <w:rPr>
          <w:color w:val="444444"/>
          <w:sz w:val="21"/>
          <w:szCs w:val="21"/>
        </w:rPr>
        <w:t>Fitch</w:t>
      </w:r>
      <w:r w:rsidRPr="0086267F">
        <w:rPr>
          <w:color w:val="444444"/>
          <w:sz w:val="21"/>
          <w:szCs w:val="21"/>
          <w:lang w:val="ru-RU"/>
        </w:rPr>
        <w:t>), хорошие операционные показатели в 2014 г. и сильную экономику региона. Также рейтинги учитывают высокую концентрацию областной экономики на черной металлургии, что делает регион зависимым от колебаний на сталелитейном рынке и обуславливает волатильность налоговых доходов.</w:t>
      </w:r>
    </w:p>
    <w:p w:rsidR="0086267F" w:rsidRPr="0086267F" w:rsidRDefault="0086267F" w:rsidP="0086267F">
      <w:pPr>
        <w:pStyle w:val="a3"/>
        <w:spacing w:line="252" w:lineRule="atLeast"/>
        <w:rPr>
          <w:color w:val="444444"/>
          <w:sz w:val="21"/>
          <w:szCs w:val="21"/>
          <w:lang w:val="ru-RU"/>
        </w:rPr>
      </w:pPr>
      <w:r>
        <w:rPr>
          <w:color w:val="444444"/>
          <w:sz w:val="21"/>
          <w:szCs w:val="21"/>
        </w:rPr>
        <w:t>Fitch</w:t>
      </w:r>
      <w:r w:rsidRPr="0086267F">
        <w:rPr>
          <w:color w:val="444444"/>
          <w:sz w:val="21"/>
          <w:szCs w:val="21"/>
          <w:lang w:val="ru-RU"/>
        </w:rPr>
        <w:t xml:space="preserve"> ожидает, что Липецкая область будет поддерживать приемлемые показатели исполнения бюджета в среднесрочной перспективе. Операционный баланс Липецкой области составит около 10% от операционных доходов в 2015-2017 гг. и будет поддерживаться контролем за операционными расходами и умеренным ростом операционных доходов. В 2014 г. регион продемонстрировал исключительные показатели: операционный баланс на уровне 14,4% от операционных доходов (в 2013 г.: 5,9%) и дефицит бюджета до движения долга в 0,2% от всех доходов (в 2013 г.: 13,5%) на фоне впечатляющего роста операционных доходов (на 21%). </w:t>
      </w:r>
      <w:r>
        <w:rPr>
          <w:color w:val="444444"/>
          <w:sz w:val="21"/>
          <w:szCs w:val="21"/>
        </w:rPr>
        <w:t>Fitch</w:t>
      </w:r>
      <w:r w:rsidRPr="0086267F">
        <w:rPr>
          <w:color w:val="444444"/>
          <w:sz w:val="21"/>
          <w:szCs w:val="21"/>
          <w:lang w:val="ru-RU"/>
        </w:rPr>
        <w:t xml:space="preserve"> отмечает, что такие хорошие результаты были обусловлены внешними факторами, которые вряд ли повторятся в среднесрочной перспективе.</w:t>
      </w:r>
    </w:p>
    <w:p w:rsidR="0086267F" w:rsidRPr="0086267F" w:rsidRDefault="0086267F" w:rsidP="0086267F">
      <w:pPr>
        <w:pStyle w:val="a3"/>
        <w:spacing w:line="252" w:lineRule="atLeast"/>
        <w:rPr>
          <w:color w:val="444444"/>
          <w:sz w:val="21"/>
          <w:szCs w:val="21"/>
          <w:lang w:val="ru-RU"/>
        </w:rPr>
      </w:pPr>
      <w:r>
        <w:rPr>
          <w:color w:val="444444"/>
          <w:sz w:val="21"/>
          <w:szCs w:val="21"/>
        </w:rPr>
        <w:t>Fitch</w:t>
      </w:r>
      <w:r w:rsidRPr="0086267F">
        <w:rPr>
          <w:color w:val="444444"/>
          <w:sz w:val="21"/>
          <w:szCs w:val="21"/>
          <w:lang w:val="ru-RU"/>
        </w:rPr>
        <w:t xml:space="preserve"> исходит из того, что дефицит бюджета Липецкой области до движения долга вырастет в 2015 г. после исключительно низкого уровня в 2014 г., но останется умеренным на уровне 5%-6% от всех доходов в среднесрочной перспективе. Администрация области будет продолжать сдерживать рост операционных и капитальных расходов в рамках проводимой взвешенной финансовой политики. </w:t>
      </w:r>
      <w:r>
        <w:rPr>
          <w:color w:val="444444"/>
          <w:sz w:val="21"/>
          <w:szCs w:val="21"/>
        </w:rPr>
        <w:t>Fitch</w:t>
      </w:r>
      <w:r w:rsidRPr="0086267F">
        <w:rPr>
          <w:color w:val="444444"/>
          <w:sz w:val="21"/>
          <w:szCs w:val="21"/>
          <w:lang w:val="ru-RU"/>
        </w:rPr>
        <w:t xml:space="preserve"> ожидает, что капитальные расходы как доля от всех расходов сократятся в среднем до 15% в год в 2015-2017 гг. в сравнении с 21% в 2012-2014 гг.</w:t>
      </w:r>
    </w:p>
    <w:p w:rsidR="0086267F" w:rsidRPr="0086267F" w:rsidRDefault="0086267F" w:rsidP="0086267F">
      <w:pPr>
        <w:pStyle w:val="a3"/>
        <w:spacing w:line="252" w:lineRule="atLeast"/>
        <w:rPr>
          <w:color w:val="444444"/>
          <w:sz w:val="21"/>
          <w:szCs w:val="21"/>
          <w:lang w:val="ru-RU"/>
        </w:rPr>
      </w:pPr>
      <w:r w:rsidRPr="0086267F">
        <w:rPr>
          <w:color w:val="444444"/>
          <w:sz w:val="21"/>
          <w:szCs w:val="21"/>
          <w:lang w:val="ru-RU"/>
        </w:rPr>
        <w:t>По мнению агентства, прямой риск региона останется умеренным в среднесрочной перспективе и не превысит 50% от текущих доходов. В 2014 г. прямой риск составлял 45,9% от текущих доходов, повысившись по сравнению с 41,4% в 2013 г. Структура долга по срокам погашения у региона лучше, чем у большинства сопоставимых эмитентов в стране. В составе прямого риска доминируют облигационные займы с амортизируемой структурой погашения и среднесрочные банковские кредиты, что обеспечивает гладкую структуру погашения долга до 2020 г., при небольшой сумме бюджетных кредитов, которые должны были погашены в 2023-2032 гг.</w:t>
      </w:r>
    </w:p>
    <w:p w:rsidR="0086267F" w:rsidRPr="0086267F" w:rsidRDefault="0086267F" w:rsidP="0086267F">
      <w:pPr>
        <w:pStyle w:val="a3"/>
        <w:spacing w:line="252" w:lineRule="atLeast"/>
        <w:rPr>
          <w:color w:val="444444"/>
          <w:sz w:val="21"/>
          <w:szCs w:val="21"/>
          <w:lang w:val="ru-RU"/>
        </w:rPr>
      </w:pPr>
      <w:r>
        <w:rPr>
          <w:color w:val="444444"/>
          <w:sz w:val="21"/>
          <w:szCs w:val="21"/>
        </w:rPr>
        <w:t>Fitch</w:t>
      </w:r>
      <w:r w:rsidRPr="0086267F">
        <w:rPr>
          <w:color w:val="444444"/>
          <w:sz w:val="21"/>
          <w:szCs w:val="21"/>
          <w:lang w:val="ru-RU"/>
        </w:rPr>
        <w:t xml:space="preserve"> считает, что риск рефинансирования у области умеренный.</w:t>
      </w:r>
      <w:r>
        <w:rPr>
          <w:color w:val="444444"/>
          <w:sz w:val="21"/>
          <w:szCs w:val="21"/>
        </w:rPr>
        <w:t> </w:t>
      </w:r>
    </w:p>
    <w:p w:rsidR="0086267F" w:rsidRDefault="0086267F"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p>
    <w:p w:rsidR="0086267F" w:rsidRDefault="0086267F"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proofErr w:type="spellStart"/>
      <w:r w:rsidRPr="00CE610B">
        <w:rPr>
          <w:rFonts w:ascii="Times New Roman" w:eastAsia="Times New Roman" w:hAnsi="Times New Roman" w:cs="Times New Roman"/>
          <w:color w:val="444444"/>
          <w:sz w:val="21"/>
          <w:szCs w:val="21"/>
          <w:lang w:eastAsia="en-GB"/>
        </w:rPr>
        <w:t>Fitch</w:t>
      </w:r>
      <w:proofErr w:type="spellEnd"/>
      <w:r w:rsidRPr="00CE610B">
        <w:rPr>
          <w:rFonts w:ascii="Times New Roman" w:eastAsia="Times New Roman" w:hAnsi="Times New Roman" w:cs="Times New Roman"/>
          <w:color w:val="444444"/>
          <w:sz w:val="21"/>
          <w:szCs w:val="21"/>
          <w:lang w:eastAsia="en-GB"/>
        </w:rPr>
        <w:t xml:space="preserve"> Ratings-Москва/Лондон-10 октября 2014 г.</w:t>
      </w: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proofErr w:type="spellStart"/>
      <w:r w:rsidRPr="00CE610B">
        <w:rPr>
          <w:rFonts w:ascii="Times New Roman" w:eastAsia="Times New Roman" w:hAnsi="Times New Roman" w:cs="Times New Roman"/>
          <w:color w:val="444444"/>
          <w:sz w:val="21"/>
          <w:szCs w:val="21"/>
          <w:lang w:eastAsia="en-GB"/>
        </w:rPr>
        <w:t>Fitch</w:t>
      </w:r>
      <w:proofErr w:type="spellEnd"/>
      <w:r w:rsidRPr="00CE610B">
        <w:rPr>
          <w:rFonts w:ascii="Times New Roman" w:eastAsia="Times New Roman" w:hAnsi="Times New Roman" w:cs="Times New Roman"/>
          <w:color w:val="444444"/>
          <w:sz w:val="21"/>
          <w:szCs w:val="21"/>
          <w:lang w:eastAsia="en-GB"/>
        </w:rPr>
        <w:t xml:space="preserve"> </w:t>
      </w:r>
      <w:proofErr w:type="spellStart"/>
      <w:r w:rsidRPr="00CE610B">
        <w:rPr>
          <w:rFonts w:ascii="Times New Roman" w:eastAsia="Times New Roman" w:hAnsi="Times New Roman" w:cs="Times New Roman"/>
          <w:color w:val="444444"/>
          <w:sz w:val="21"/>
          <w:szCs w:val="21"/>
          <w:lang w:eastAsia="en-GB"/>
        </w:rPr>
        <w:t>Ratings</w:t>
      </w:r>
      <w:proofErr w:type="spellEnd"/>
      <w:r w:rsidRPr="00CE610B">
        <w:rPr>
          <w:rFonts w:ascii="Times New Roman" w:eastAsia="Times New Roman" w:hAnsi="Times New Roman" w:cs="Times New Roman"/>
          <w:color w:val="444444"/>
          <w:sz w:val="21"/>
          <w:szCs w:val="21"/>
          <w:lang w:eastAsia="en-GB"/>
        </w:rPr>
        <w:t xml:space="preserve"> подтвердило рейтинги Липецкой области Российской Федерации: долгосрочные рейтинги дефолта эмитента («РДЭ») в иностранной и национальной валюте на уровне «BB» со «Стабильным» прогнозом и краткосрочный РДЭ в иностранной валюте «B». Также агентство подтвердило национальный долгосрочный рейтинг региона на уровне «AA-(</w:t>
      </w:r>
      <w:proofErr w:type="spellStart"/>
      <w:r w:rsidRPr="00CE610B">
        <w:rPr>
          <w:rFonts w:ascii="Times New Roman" w:eastAsia="Times New Roman" w:hAnsi="Times New Roman" w:cs="Times New Roman"/>
          <w:color w:val="444444"/>
          <w:sz w:val="21"/>
          <w:szCs w:val="21"/>
          <w:lang w:eastAsia="en-GB"/>
        </w:rPr>
        <w:t>rus</w:t>
      </w:r>
      <w:proofErr w:type="spellEnd"/>
      <w:r w:rsidRPr="00CE610B">
        <w:rPr>
          <w:rFonts w:ascii="Times New Roman" w:eastAsia="Times New Roman" w:hAnsi="Times New Roman" w:cs="Times New Roman"/>
          <w:color w:val="444444"/>
          <w:sz w:val="21"/>
          <w:szCs w:val="21"/>
          <w:lang w:eastAsia="en-GB"/>
        </w:rPr>
        <w:t>)» со «Стабильным» прогнозом. Одновременно агентство подтвердило на уровнях «BB» и «AA-(</w:t>
      </w:r>
      <w:proofErr w:type="spellStart"/>
      <w:r w:rsidRPr="00CE610B">
        <w:rPr>
          <w:rFonts w:ascii="Times New Roman" w:eastAsia="Times New Roman" w:hAnsi="Times New Roman" w:cs="Times New Roman"/>
          <w:color w:val="444444"/>
          <w:sz w:val="21"/>
          <w:szCs w:val="21"/>
          <w:lang w:eastAsia="en-GB"/>
        </w:rPr>
        <w:t>rus</w:t>
      </w:r>
      <w:proofErr w:type="spellEnd"/>
      <w:r w:rsidRPr="00CE610B">
        <w:rPr>
          <w:rFonts w:ascii="Times New Roman" w:eastAsia="Times New Roman" w:hAnsi="Times New Roman" w:cs="Times New Roman"/>
          <w:color w:val="444444"/>
          <w:sz w:val="21"/>
          <w:szCs w:val="21"/>
          <w:lang w:eastAsia="en-GB"/>
        </w:rPr>
        <w:t>)» рейтинги приоритетных необеспеченных облигаций региона (ISIN RU000A0JS8T1, RU000A0JUNK5 и RU000A0JTVZ8), находящихся в обращении на внутреннем рынке.</w:t>
      </w: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r w:rsidRPr="00CE610B">
        <w:rPr>
          <w:rFonts w:ascii="Times New Roman" w:eastAsia="Times New Roman" w:hAnsi="Times New Roman" w:cs="Times New Roman"/>
          <w:color w:val="444444"/>
          <w:sz w:val="21"/>
          <w:szCs w:val="21"/>
          <w:lang w:eastAsia="en-GB"/>
        </w:rPr>
        <w:t xml:space="preserve"> Подтверждение рейтингов Липецкой области отражает приемлемые операционные показатели и умеренный, хотя и растущий, прямой риск (прямой долг плюс прочая задолженность по классификации </w:t>
      </w:r>
      <w:proofErr w:type="spellStart"/>
      <w:r w:rsidRPr="00CE610B">
        <w:rPr>
          <w:rFonts w:ascii="Times New Roman" w:eastAsia="Times New Roman" w:hAnsi="Times New Roman" w:cs="Times New Roman"/>
          <w:color w:val="444444"/>
          <w:sz w:val="21"/>
          <w:szCs w:val="21"/>
          <w:lang w:eastAsia="en-GB"/>
        </w:rPr>
        <w:t>Fitch</w:t>
      </w:r>
      <w:proofErr w:type="spellEnd"/>
      <w:r w:rsidRPr="00CE610B">
        <w:rPr>
          <w:rFonts w:ascii="Times New Roman" w:eastAsia="Times New Roman" w:hAnsi="Times New Roman" w:cs="Times New Roman"/>
          <w:color w:val="444444"/>
          <w:sz w:val="21"/>
          <w:szCs w:val="21"/>
          <w:lang w:eastAsia="en-GB"/>
        </w:rPr>
        <w:t>), а также взвешенный финансовый менеджмент. Кроме того, рейтинги учитывают высокую концентрацию экономики региона и сохраняющееся давление со стороны операционных расходов.</w:t>
      </w: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r w:rsidRPr="00CE610B">
        <w:rPr>
          <w:rFonts w:ascii="Times New Roman" w:eastAsia="Times New Roman" w:hAnsi="Times New Roman" w:cs="Times New Roman"/>
          <w:color w:val="444444"/>
          <w:sz w:val="21"/>
          <w:szCs w:val="21"/>
          <w:lang w:eastAsia="en-GB"/>
        </w:rPr>
        <w:t xml:space="preserve">Приемлемые операционные показатели: </w:t>
      </w:r>
      <w:proofErr w:type="spellStart"/>
      <w:r w:rsidRPr="00CE610B">
        <w:rPr>
          <w:rFonts w:ascii="Times New Roman" w:eastAsia="Times New Roman" w:hAnsi="Times New Roman" w:cs="Times New Roman"/>
          <w:color w:val="444444"/>
          <w:sz w:val="21"/>
          <w:szCs w:val="21"/>
          <w:lang w:eastAsia="en-GB"/>
        </w:rPr>
        <w:t>Fitch</w:t>
      </w:r>
      <w:proofErr w:type="spellEnd"/>
      <w:r w:rsidRPr="00CE610B">
        <w:rPr>
          <w:rFonts w:ascii="Times New Roman" w:eastAsia="Times New Roman" w:hAnsi="Times New Roman" w:cs="Times New Roman"/>
          <w:color w:val="444444"/>
          <w:sz w:val="21"/>
          <w:szCs w:val="21"/>
          <w:lang w:eastAsia="en-GB"/>
        </w:rPr>
        <w:t xml:space="preserve"> ожидает, что операционные показатели Липецкой области останутся приемлемыми, и операционный баланс будет достаточным для покрытия расходов на обслуживание долга в 2014-2016 гг. В 2013 г. операционный баланс области составил 5,9% от операционных доходов, ухудшившись по сравнению с 8,5% в 2012 г. </w:t>
      </w:r>
      <w:proofErr w:type="spellStart"/>
      <w:r w:rsidRPr="00CE610B">
        <w:rPr>
          <w:rFonts w:ascii="Times New Roman" w:eastAsia="Times New Roman" w:hAnsi="Times New Roman" w:cs="Times New Roman"/>
          <w:color w:val="444444"/>
          <w:sz w:val="21"/>
          <w:szCs w:val="21"/>
          <w:lang w:eastAsia="en-GB"/>
        </w:rPr>
        <w:t>Fitch</w:t>
      </w:r>
      <w:proofErr w:type="spellEnd"/>
      <w:r w:rsidRPr="00CE610B">
        <w:rPr>
          <w:rFonts w:ascii="Times New Roman" w:eastAsia="Times New Roman" w:hAnsi="Times New Roman" w:cs="Times New Roman"/>
          <w:color w:val="444444"/>
          <w:sz w:val="21"/>
          <w:szCs w:val="21"/>
          <w:lang w:eastAsia="en-GB"/>
        </w:rPr>
        <w:t xml:space="preserve"> ожидало такое снижение ввиду давления со стороны операционных расходов и неблагоприятных макроэкономических условий. </w:t>
      </w:r>
      <w:r w:rsidRPr="00CE610B">
        <w:rPr>
          <w:rFonts w:ascii="Times New Roman" w:eastAsia="Times New Roman" w:hAnsi="Times New Roman" w:cs="Times New Roman"/>
          <w:color w:val="444444"/>
          <w:sz w:val="21"/>
          <w:szCs w:val="21"/>
          <w:lang w:eastAsia="en-GB"/>
        </w:rPr>
        <w:lastRenderedPageBreak/>
        <w:t xml:space="preserve">Замедление роста операционных доходов вместе с высокими </w:t>
      </w:r>
      <w:proofErr w:type="spellStart"/>
      <w:r w:rsidRPr="00CE610B">
        <w:rPr>
          <w:rFonts w:ascii="Times New Roman" w:eastAsia="Times New Roman" w:hAnsi="Times New Roman" w:cs="Times New Roman"/>
          <w:color w:val="444444"/>
          <w:sz w:val="21"/>
          <w:szCs w:val="21"/>
          <w:lang w:eastAsia="en-GB"/>
        </w:rPr>
        <w:t>капрасходами</w:t>
      </w:r>
      <w:proofErr w:type="spellEnd"/>
      <w:r w:rsidRPr="00CE610B">
        <w:rPr>
          <w:rFonts w:ascii="Times New Roman" w:eastAsia="Times New Roman" w:hAnsi="Times New Roman" w:cs="Times New Roman"/>
          <w:color w:val="444444"/>
          <w:sz w:val="21"/>
          <w:szCs w:val="21"/>
          <w:lang w:eastAsia="en-GB"/>
        </w:rPr>
        <w:t xml:space="preserve"> обусловило увеличение дефицита до движения долга у региона до 13,5% всех доходов в 2013 г. (в 2012 г.: 7%).</w:t>
      </w: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r w:rsidRPr="00CE610B">
        <w:rPr>
          <w:rFonts w:ascii="Times New Roman" w:eastAsia="Times New Roman" w:hAnsi="Times New Roman" w:cs="Times New Roman"/>
          <w:color w:val="444444"/>
          <w:sz w:val="21"/>
          <w:szCs w:val="21"/>
          <w:lang w:eastAsia="en-GB"/>
        </w:rPr>
        <w:t xml:space="preserve">Умеренный, но растущий долг: по прогнозам агентства, прямой риск Липецкой области продолжит увеличиваться, но останется умеренным в среднесрочной перспективе и составит 48,5% от текущих доходов к концу 2014 г. В 2013 г. прямой риск был равен 13,5 млрд. руб., или 41,4% от текущих доходов. </w:t>
      </w:r>
      <w:proofErr w:type="spellStart"/>
      <w:r w:rsidRPr="00CE610B">
        <w:rPr>
          <w:rFonts w:ascii="Times New Roman" w:eastAsia="Times New Roman" w:hAnsi="Times New Roman" w:cs="Times New Roman"/>
          <w:color w:val="444444"/>
          <w:sz w:val="21"/>
          <w:szCs w:val="21"/>
          <w:lang w:eastAsia="en-GB"/>
        </w:rPr>
        <w:t>Fitch</w:t>
      </w:r>
      <w:proofErr w:type="spellEnd"/>
      <w:r w:rsidRPr="00CE610B">
        <w:rPr>
          <w:rFonts w:ascii="Times New Roman" w:eastAsia="Times New Roman" w:hAnsi="Times New Roman" w:cs="Times New Roman"/>
          <w:color w:val="444444"/>
          <w:sz w:val="21"/>
          <w:szCs w:val="21"/>
          <w:lang w:eastAsia="en-GB"/>
        </w:rPr>
        <w:t xml:space="preserve"> ожидает, что показатель обеспеченности долга у Липецкой области (прямой риск/текущий баланс) останется слабым в среднесрочной перспективе ввиду слабого текущего баланса.</w:t>
      </w: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r w:rsidRPr="00CE610B">
        <w:rPr>
          <w:rFonts w:ascii="Times New Roman" w:eastAsia="Times New Roman" w:hAnsi="Times New Roman" w:cs="Times New Roman"/>
          <w:color w:val="444444"/>
          <w:sz w:val="21"/>
          <w:szCs w:val="21"/>
          <w:lang w:eastAsia="en-GB"/>
        </w:rPr>
        <w:t>Риск рефинансирования сохраняется: долговой портфель региона имеет более длинные сроки погашения, чем у большинства других субъектов Российской Федерации. В 2013 г. область успешно разместила на внутреннем рынке семилетние облигации. Липецкая область подвержена некоторому риску рефинансирования, так как в 2014 г. ей необходимо рефинансировать 30% всего долга. Сюда входят погашения по банковским кредитам на 3,8 млрд. руб. и по амортизируемым облигациям на 0,5 млрд. руб. Следуя взвешенной долговой политике, в конце 2013 г. регион открыл безотзывные кредитные линии в коммерческих банках на сумму 3,8 млрд. руб. для рефинансирования банковских кредитов с наступающими сроками.</w:t>
      </w: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r w:rsidRPr="00CE610B">
        <w:rPr>
          <w:rFonts w:ascii="Times New Roman" w:eastAsia="Times New Roman" w:hAnsi="Times New Roman" w:cs="Times New Roman"/>
          <w:color w:val="444444"/>
          <w:sz w:val="21"/>
          <w:szCs w:val="21"/>
          <w:lang w:eastAsia="en-GB"/>
        </w:rPr>
        <w:t>Развитая, но концентрированная экономика: экономика Липецкой области является развитой, но концентрированной ввиду присутствия одного из крупнейших металлургических предприятий в России, ОАО Новолипецкий металлургический комбинат («НЛМК», «BBB-»/прогноз «Негативный»/«F3»). Черная металлургия обеспечила 56% промышленного производства региона в 2013 г., что делает его уязвимым к колебаниям на рынках стали. В 2013 г. экономика региона росла на 1,1% в год, что было в целом на одном уровне со слабым ростом в стране в 1,3%.</w:t>
      </w:r>
    </w:p>
    <w:p w:rsidR="00CE610B" w:rsidRPr="00CE610B" w:rsidRDefault="00CE610B" w:rsidP="00CE610B">
      <w:pPr>
        <w:spacing w:before="100" w:beforeAutospacing="1" w:after="100" w:afterAutospacing="1" w:line="240" w:lineRule="auto"/>
        <w:rPr>
          <w:rFonts w:ascii="Times New Roman" w:eastAsia="Times New Roman" w:hAnsi="Times New Roman" w:cs="Times New Roman"/>
          <w:color w:val="444444"/>
          <w:sz w:val="21"/>
          <w:szCs w:val="21"/>
          <w:lang w:eastAsia="en-GB"/>
        </w:rPr>
      </w:pPr>
      <w:r w:rsidRPr="00CE610B">
        <w:rPr>
          <w:rFonts w:ascii="Times New Roman" w:eastAsia="Times New Roman" w:hAnsi="Times New Roman" w:cs="Times New Roman"/>
          <w:color w:val="444444"/>
          <w:sz w:val="21"/>
          <w:szCs w:val="21"/>
          <w:lang w:eastAsia="en-GB"/>
        </w:rPr>
        <w:t>Взвешенное управление: стратегической задачей администрации области является диверсификация региональной экономики за счет развития сети особых экономических зон. Регион проводит взвешенное управление финансами. Об этом свидетельствует сохранение устойчивых операционных показателей, несмотря на цикличный характер доходной базы, и постоянное улучшение структуры прямого риска по срокам погашения.</w:t>
      </w:r>
    </w:p>
    <w:sectPr w:rsidR="00CE610B" w:rsidRPr="00CE610B" w:rsidSect="00601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A45D60"/>
    <w:rsid w:val="00010278"/>
    <w:rsid w:val="0001278C"/>
    <w:rsid w:val="0002250C"/>
    <w:rsid w:val="000B173F"/>
    <w:rsid w:val="000D6DE6"/>
    <w:rsid w:val="00125706"/>
    <w:rsid w:val="00125ACA"/>
    <w:rsid w:val="001345FF"/>
    <w:rsid w:val="00136BC9"/>
    <w:rsid w:val="00145AE2"/>
    <w:rsid w:val="00176ABD"/>
    <w:rsid w:val="001C3FE6"/>
    <w:rsid w:val="001C47F4"/>
    <w:rsid w:val="001C5203"/>
    <w:rsid w:val="001E1C01"/>
    <w:rsid w:val="001E6D1C"/>
    <w:rsid w:val="00216CB6"/>
    <w:rsid w:val="00291007"/>
    <w:rsid w:val="002A2350"/>
    <w:rsid w:val="002A62C2"/>
    <w:rsid w:val="002B1C0E"/>
    <w:rsid w:val="002C7E38"/>
    <w:rsid w:val="002F5F7E"/>
    <w:rsid w:val="00337EE3"/>
    <w:rsid w:val="00347018"/>
    <w:rsid w:val="003718C4"/>
    <w:rsid w:val="00385251"/>
    <w:rsid w:val="003B1067"/>
    <w:rsid w:val="003D4F82"/>
    <w:rsid w:val="004261F0"/>
    <w:rsid w:val="00427CD3"/>
    <w:rsid w:val="00441254"/>
    <w:rsid w:val="00446969"/>
    <w:rsid w:val="004532B7"/>
    <w:rsid w:val="00477D73"/>
    <w:rsid w:val="00492791"/>
    <w:rsid w:val="00495D5C"/>
    <w:rsid w:val="00497CE3"/>
    <w:rsid w:val="004B791B"/>
    <w:rsid w:val="004D1A64"/>
    <w:rsid w:val="004E3EAD"/>
    <w:rsid w:val="004E4FA9"/>
    <w:rsid w:val="004F3ABD"/>
    <w:rsid w:val="0051252A"/>
    <w:rsid w:val="00516175"/>
    <w:rsid w:val="0052394B"/>
    <w:rsid w:val="00534E50"/>
    <w:rsid w:val="00542A72"/>
    <w:rsid w:val="005C3E05"/>
    <w:rsid w:val="005D4B63"/>
    <w:rsid w:val="005D70B6"/>
    <w:rsid w:val="005E7BED"/>
    <w:rsid w:val="00601ACC"/>
    <w:rsid w:val="0062142D"/>
    <w:rsid w:val="00657786"/>
    <w:rsid w:val="006C2EE0"/>
    <w:rsid w:val="006D7510"/>
    <w:rsid w:val="00723BA8"/>
    <w:rsid w:val="007608C3"/>
    <w:rsid w:val="007747BD"/>
    <w:rsid w:val="007751B2"/>
    <w:rsid w:val="007922CD"/>
    <w:rsid w:val="008141EF"/>
    <w:rsid w:val="00820C0A"/>
    <w:rsid w:val="00821E35"/>
    <w:rsid w:val="0083440B"/>
    <w:rsid w:val="0086267F"/>
    <w:rsid w:val="008635E9"/>
    <w:rsid w:val="0086619E"/>
    <w:rsid w:val="008A0E5D"/>
    <w:rsid w:val="008A57BF"/>
    <w:rsid w:val="008A7B9C"/>
    <w:rsid w:val="008E7487"/>
    <w:rsid w:val="009117AE"/>
    <w:rsid w:val="00926811"/>
    <w:rsid w:val="00930BDA"/>
    <w:rsid w:val="009357FF"/>
    <w:rsid w:val="009436DA"/>
    <w:rsid w:val="00947B84"/>
    <w:rsid w:val="009860AD"/>
    <w:rsid w:val="009C0181"/>
    <w:rsid w:val="009C3363"/>
    <w:rsid w:val="00A259E0"/>
    <w:rsid w:val="00A45D60"/>
    <w:rsid w:val="00A87809"/>
    <w:rsid w:val="00AC6B01"/>
    <w:rsid w:val="00AD167E"/>
    <w:rsid w:val="00AD707A"/>
    <w:rsid w:val="00AD76E0"/>
    <w:rsid w:val="00B136EA"/>
    <w:rsid w:val="00B45C18"/>
    <w:rsid w:val="00B74963"/>
    <w:rsid w:val="00B75215"/>
    <w:rsid w:val="00BA24A1"/>
    <w:rsid w:val="00BB568F"/>
    <w:rsid w:val="00BD1C69"/>
    <w:rsid w:val="00C03C62"/>
    <w:rsid w:val="00C0430C"/>
    <w:rsid w:val="00C07686"/>
    <w:rsid w:val="00C21143"/>
    <w:rsid w:val="00C61035"/>
    <w:rsid w:val="00C65E3C"/>
    <w:rsid w:val="00C710BF"/>
    <w:rsid w:val="00C76D15"/>
    <w:rsid w:val="00CE610B"/>
    <w:rsid w:val="00D01BB9"/>
    <w:rsid w:val="00D022EF"/>
    <w:rsid w:val="00D12C43"/>
    <w:rsid w:val="00D15843"/>
    <w:rsid w:val="00D24AC3"/>
    <w:rsid w:val="00D761BA"/>
    <w:rsid w:val="00D77715"/>
    <w:rsid w:val="00D91E44"/>
    <w:rsid w:val="00D93F25"/>
    <w:rsid w:val="00D97EE4"/>
    <w:rsid w:val="00DA3C38"/>
    <w:rsid w:val="00DB2B41"/>
    <w:rsid w:val="00DD309A"/>
    <w:rsid w:val="00DD7F49"/>
    <w:rsid w:val="00DF7F94"/>
    <w:rsid w:val="00E13D78"/>
    <w:rsid w:val="00E65738"/>
    <w:rsid w:val="00E91A83"/>
    <w:rsid w:val="00EA2B9D"/>
    <w:rsid w:val="00EC3AC0"/>
    <w:rsid w:val="00ED7FC5"/>
    <w:rsid w:val="00EF2D5E"/>
    <w:rsid w:val="00F12FB7"/>
    <w:rsid w:val="00F242FD"/>
    <w:rsid w:val="00F3127C"/>
    <w:rsid w:val="00F511A3"/>
    <w:rsid w:val="00F97624"/>
    <w:rsid w:val="00FD2D57"/>
    <w:rsid w:val="00FE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D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A45D60"/>
  </w:style>
  <w:style w:type="character" w:styleId="a4">
    <w:name w:val="Hyperlink"/>
    <w:basedOn w:val="a0"/>
    <w:uiPriority w:val="99"/>
    <w:semiHidden/>
    <w:unhideWhenUsed/>
    <w:rsid w:val="00A45D60"/>
    <w:rPr>
      <w:color w:val="0000FF"/>
      <w:u w:val="single"/>
    </w:rPr>
  </w:style>
  <w:style w:type="character" w:styleId="a5">
    <w:name w:val="Emphasis"/>
    <w:basedOn w:val="a0"/>
    <w:uiPriority w:val="20"/>
    <w:qFormat/>
    <w:rsid w:val="00CE610B"/>
    <w:rPr>
      <w:i/>
      <w:iCs/>
    </w:rPr>
  </w:style>
  <w:style w:type="character" w:styleId="a6">
    <w:name w:val="Strong"/>
    <w:basedOn w:val="a0"/>
    <w:uiPriority w:val="22"/>
    <w:qFormat/>
    <w:rsid w:val="0086267F"/>
    <w:rPr>
      <w:b/>
      <w:bCs/>
    </w:rPr>
  </w:style>
  <w:style w:type="character" w:styleId="a7">
    <w:name w:val="FollowedHyperlink"/>
    <w:basedOn w:val="a0"/>
    <w:uiPriority w:val="99"/>
    <w:semiHidden/>
    <w:unhideWhenUsed/>
    <w:rsid w:val="0086267F"/>
    <w:rPr>
      <w:color w:val="800080" w:themeColor="followedHyperlink"/>
      <w:u w:val="single"/>
    </w:rPr>
  </w:style>
  <w:style w:type="paragraph" w:styleId="a8">
    <w:name w:val="Balloon Text"/>
    <w:basedOn w:val="a"/>
    <w:link w:val="a9"/>
    <w:uiPriority w:val="99"/>
    <w:semiHidden/>
    <w:unhideWhenUsed/>
    <w:rsid w:val="00820C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0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D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A45D60"/>
  </w:style>
  <w:style w:type="character" w:styleId="a4">
    <w:name w:val="Hyperlink"/>
    <w:basedOn w:val="a0"/>
    <w:uiPriority w:val="99"/>
    <w:semiHidden/>
    <w:unhideWhenUsed/>
    <w:rsid w:val="00A45D60"/>
    <w:rPr>
      <w:color w:val="0000FF"/>
      <w:u w:val="single"/>
    </w:rPr>
  </w:style>
  <w:style w:type="character" w:styleId="a5">
    <w:name w:val="Emphasis"/>
    <w:basedOn w:val="a0"/>
    <w:uiPriority w:val="20"/>
    <w:qFormat/>
    <w:rsid w:val="00CE610B"/>
    <w:rPr>
      <w:i/>
      <w:iCs/>
    </w:rPr>
  </w:style>
  <w:style w:type="character" w:styleId="a6">
    <w:name w:val="Strong"/>
    <w:basedOn w:val="a0"/>
    <w:uiPriority w:val="22"/>
    <w:qFormat/>
    <w:rsid w:val="0086267F"/>
    <w:rPr>
      <w:b/>
      <w:bCs/>
    </w:rPr>
  </w:style>
  <w:style w:type="character" w:styleId="a7">
    <w:name w:val="FollowedHyperlink"/>
    <w:basedOn w:val="a0"/>
    <w:uiPriority w:val="99"/>
    <w:semiHidden/>
    <w:unhideWhenUsed/>
    <w:rsid w:val="0086267F"/>
    <w:rPr>
      <w:color w:val="800080" w:themeColor="followedHyperlink"/>
      <w:u w:val="single"/>
    </w:rPr>
  </w:style>
  <w:style w:type="paragraph" w:styleId="a8">
    <w:name w:val="Balloon Text"/>
    <w:basedOn w:val="a"/>
    <w:link w:val="a9"/>
    <w:uiPriority w:val="99"/>
    <w:semiHidden/>
    <w:unhideWhenUsed/>
    <w:rsid w:val="00820C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0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041977">
      <w:bodyDiv w:val="1"/>
      <w:marLeft w:val="0"/>
      <w:marRight w:val="0"/>
      <w:marTop w:val="0"/>
      <w:marBottom w:val="0"/>
      <w:divBdr>
        <w:top w:val="none" w:sz="0" w:space="0" w:color="auto"/>
        <w:left w:val="none" w:sz="0" w:space="0" w:color="auto"/>
        <w:bottom w:val="none" w:sz="0" w:space="0" w:color="auto"/>
        <w:right w:val="none" w:sz="0" w:space="0" w:color="auto"/>
      </w:divBdr>
    </w:div>
    <w:div w:id="610623635">
      <w:bodyDiv w:val="1"/>
      <w:marLeft w:val="0"/>
      <w:marRight w:val="0"/>
      <w:marTop w:val="0"/>
      <w:marBottom w:val="0"/>
      <w:divBdr>
        <w:top w:val="none" w:sz="0" w:space="0" w:color="auto"/>
        <w:left w:val="none" w:sz="0" w:space="0" w:color="auto"/>
        <w:bottom w:val="none" w:sz="0" w:space="0" w:color="auto"/>
        <w:right w:val="none" w:sz="0" w:space="0" w:color="auto"/>
      </w:divBdr>
    </w:div>
    <w:div w:id="840433980">
      <w:bodyDiv w:val="1"/>
      <w:marLeft w:val="0"/>
      <w:marRight w:val="0"/>
      <w:marTop w:val="0"/>
      <w:marBottom w:val="0"/>
      <w:divBdr>
        <w:top w:val="none" w:sz="0" w:space="0" w:color="auto"/>
        <w:left w:val="none" w:sz="0" w:space="0" w:color="auto"/>
        <w:bottom w:val="none" w:sz="0" w:space="0" w:color="auto"/>
        <w:right w:val="none" w:sz="0" w:space="0" w:color="auto"/>
      </w:divBdr>
    </w:div>
    <w:div w:id="848449636">
      <w:bodyDiv w:val="1"/>
      <w:marLeft w:val="0"/>
      <w:marRight w:val="0"/>
      <w:marTop w:val="0"/>
      <w:marBottom w:val="0"/>
      <w:divBdr>
        <w:top w:val="none" w:sz="0" w:space="0" w:color="auto"/>
        <w:left w:val="none" w:sz="0" w:space="0" w:color="auto"/>
        <w:bottom w:val="none" w:sz="0" w:space="0" w:color="auto"/>
        <w:right w:val="none" w:sz="0" w:space="0" w:color="auto"/>
      </w:divBdr>
    </w:div>
    <w:div w:id="1223755136">
      <w:bodyDiv w:val="1"/>
      <w:marLeft w:val="0"/>
      <w:marRight w:val="0"/>
      <w:marTop w:val="0"/>
      <w:marBottom w:val="0"/>
      <w:divBdr>
        <w:top w:val="none" w:sz="0" w:space="0" w:color="auto"/>
        <w:left w:val="none" w:sz="0" w:space="0" w:color="auto"/>
        <w:bottom w:val="none" w:sz="0" w:space="0" w:color="auto"/>
        <w:right w:val="none" w:sz="0" w:space="0" w:color="auto"/>
      </w:divBdr>
    </w:div>
    <w:div w:id="1290934976">
      <w:bodyDiv w:val="1"/>
      <w:marLeft w:val="0"/>
      <w:marRight w:val="0"/>
      <w:marTop w:val="0"/>
      <w:marBottom w:val="0"/>
      <w:divBdr>
        <w:top w:val="none" w:sz="0" w:space="0" w:color="auto"/>
        <w:left w:val="none" w:sz="0" w:space="0" w:color="auto"/>
        <w:bottom w:val="none" w:sz="0" w:space="0" w:color="auto"/>
        <w:right w:val="none" w:sz="0" w:space="0" w:color="auto"/>
      </w:divBdr>
    </w:div>
    <w:div w:id="19647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chratings.com/creditdesk/press_releases/detail.cfm?pr_id=982108" TargetMode="External"/><Relationship Id="rId13" Type="http://schemas.openxmlformats.org/officeDocument/2006/relationships/hyperlink" Target="https://www.fitchratings.com/creditdesk/press_releases/detail.cfm?pr_id=982108" TargetMode="External"/><Relationship Id="rId18" Type="http://schemas.openxmlformats.org/officeDocument/2006/relationships/hyperlink" Target="https://www.fitchratings.com/creditdesk/press_releases/detail.cfm?pr_id=982108" TargetMode="External"/><Relationship Id="rId26" Type="http://schemas.openxmlformats.org/officeDocument/2006/relationships/hyperlink" Target="https://www.fitchratings.com/creditdesk/press_releases/detail.cfm?pr_id=982108" TargetMode="External"/><Relationship Id="rId3" Type="http://schemas.openxmlformats.org/officeDocument/2006/relationships/webSettings" Target="webSettings.xml"/><Relationship Id="rId21" Type="http://schemas.openxmlformats.org/officeDocument/2006/relationships/hyperlink" Target="https://www.fitchratings.com/creditdesk/press_releases/detail.cfm?pr_id=982108" TargetMode="External"/><Relationship Id="rId34" Type="http://schemas.openxmlformats.org/officeDocument/2006/relationships/hyperlink" Target="https://www.fitchratings.com/creditdesk/press_releases/detail.cfm?pr_id=982108" TargetMode="External"/><Relationship Id="rId7" Type="http://schemas.openxmlformats.org/officeDocument/2006/relationships/hyperlink" Target="https://www.fitchratings.com/creditdesk/press_releases/detail.cfm?pr_id=982108" TargetMode="External"/><Relationship Id="rId12" Type="http://schemas.openxmlformats.org/officeDocument/2006/relationships/hyperlink" Target="https://www.fitchratings.com/creditdesk/press_releases/detail.cfm?pr_id=982108" TargetMode="External"/><Relationship Id="rId17" Type="http://schemas.openxmlformats.org/officeDocument/2006/relationships/hyperlink" Target="https://www.fitchratings.com/creditdesk/press_releases/detail.cfm?pr_id=982108" TargetMode="External"/><Relationship Id="rId25" Type="http://schemas.openxmlformats.org/officeDocument/2006/relationships/hyperlink" Target="https://www.fitchratings.com/creditdesk/press_releases/detail.cfm?pr_id=982108" TargetMode="External"/><Relationship Id="rId33" Type="http://schemas.openxmlformats.org/officeDocument/2006/relationships/hyperlink" Target="https://www.fitchratings.com/creditdesk/press_releases/detail.cfm?pr_id=982108" TargetMode="External"/><Relationship Id="rId38"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www.fitchratings.com/creditdesk/press_releases/detail.cfm?pr_id=982108" TargetMode="External"/><Relationship Id="rId20" Type="http://schemas.openxmlformats.org/officeDocument/2006/relationships/hyperlink" Target="https://www.fitchratings.com/creditdesk/press_releases/detail.cfm?pr_id=982108" TargetMode="External"/><Relationship Id="rId29" Type="http://schemas.openxmlformats.org/officeDocument/2006/relationships/hyperlink" Target="https://www.fitchratings.com/creditdesk/press_releases/detail.cfm?pr_id=982108" TargetMode="External"/><Relationship Id="rId1" Type="http://schemas.openxmlformats.org/officeDocument/2006/relationships/styles" Target="styles.xml"/><Relationship Id="rId6" Type="http://schemas.openxmlformats.org/officeDocument/2006/relationships/hyperlink" Target="https://www.fitchratings.com/creditdesk/press_releases/detail.cfm?pr_id=982108" TargetMode="External"/><Relationship Id="rId11" Type="http://schemas.openxmlformats.org/officeDocument/2006/relationships/hyperlink" Target="https://www.fitchratings.com/creditdesk/press_releases/detail.cfm?pr_id=982108" TargetMode="External"/><Relationship Id="rId24" Type="http://schemas.openxmlformats.org/officeDocument/2006/relationships/hyperlink" Target="https://www.fitchratings.com/creditdesk/press_releases/detail.cfm?pr_id=982108" TargetMode="External"/><Relationship Id="rId32" Type="http://schemas.openxmlformats.org/officeDocument/2006/relationships/hyperlink" Target="https://www.fitchratings.com/creditdesk/press_releases/detail.cfm?pr_id=982108" TargetMode="External"/><Relationship Id="rId37" Type="http://schemas.openxmlformats.org/officeDocument/2006/relationships/theme" Target="theme/theme1.xml"/><Relationship Id="rId5" Type="http://schemas.openxmlformats.org/officeDocument/2006/relationships/hyperlink" Target="https://www.fitchratings.com/creditdesk/press_releases/detail.cfm?pr_id=982108" TargetMode="External"/><Relationship Id="rId15" Type="http://schemas.openxmlformats.org/officeDocument/2006/relationships/hyperlink" Target="https://www.fitchratings.com/creditdesk/press_releases/detail.cfm?pr_id=982108" TargetMode="External"/><Relationship Id="rId23" Type="http://schemas.openxmlformats.org/officeDocument/2006/relationships/hyperlink" Target="https://www.fitchratings.com/creditdesk/press_releases/detail.cfm?pr_id=982108" TargetMode="External"/><Relationship Id="rId28" Type="http://schemas.openxmlformats.org/officeDocument/2006/relationships/hyperlink" Target="https://www.fitchratings.com/creditdesk/press_releases/detail.cfm?pr_id=982108" TargetMode="External"/><Relationship Id="rId36" Type="http://schemas.openxmlformats.org/officeDocument/2006/relationships/fontTable" Target="fontTable.xml"/><Relationship Id="rId10" Type="http://schemas.openxmlformats.org/officeDocument/2006/relationships/hyperlink" Target="https://www.fitchratings.com/creditdesk/press_releases/detail.cfm?pr_id=982108" TargetMode="External"/><Relationship Id="rId19" Type="http://schemas.openxmlformats.org/officeDocument/2006/relationships/hyperlink" Target="https://www.fitchratings.com/creditdesk/press_releases/detail.cfm?pr_id=982108" TargetMode="External"/><Relationship Id="rId31" Type="http://schemas.openxmlformats.org/officeDocument/2006/relationships/hyperlink" Target="https://www.fitchratings.com/creditdesk/press_releases/detail.cfm?pr_id=982108" TargetMode="External"/><Relationship Id="rId4" Type="http://schemas.openxmlformats.org/officeDocument/2006/relationships/hyperlink" Target="https://www.fitchratings.com/site/pr/1011860" TargetMode="External"/><Relationship Id="rId9" Type="http://schemas.openxmlformats.org/officeDocument/2006/relationships/hyperlink" Target="https://www.fitchratings.com/creditdesk/press_releases/detail.cfm?pr_id=982108" TargetMode="External"/><Relationship Id="rId14" Type="http://schemas.openxmlformats.org/officeDocument/2006/relationships/hyperlink" Target="https://www.fitchratings.com/creditdesk/press_releases/detail.cfm?pr_id=982108" TargetMode="External"/><Relationship Id="rId22" Type="http://schemas.openxmlformats.org/officeDocument/2006/relationships/hyperlink" Target="https://www.fitchratings.com/site/fitch-home/pressrelease?id=1001218" TargetMode="External"/><Relationship Id="rId27" Type="http://schemas.openxmlformats.org/officeDocument/2006/relationships/hyperlink" Target="https://www.fitchratings.com/creditdesk/press_releases/detail.cfm?pr_id=982108" TargetMode="External"/><Relationship Id="rId30" Type="http://schemas.openxmlformats.org/officeDocument/2006/relationships/hyperlink" Target="https://www.fitchratings.com/creditdesk/press_releases/detail.cfm?pr_id=982108" TargetMode="External"/><Relationship Id="rId35" Type="http://schemas.openxmlformats.org/officeDocument/2006/relationships/hyperlink" Target="https://www.fitchratings.com/creditdesk/press_releases/detail.cfm?pr_id=982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инвестиций</dc:creator>
  <cp:lastModifiedBy>Степанова</cp:lastModifiedBy>
  <cp:revision>2</cp:revision>
  <dcterms:created xsi:type="dcterms:W3CDTF">2017-10-18T07:48:00Z</dcterms:created>
  <dcterms:modified xsi:type="dcterms:W3CDTF">2017-10-18T07:48:00Z</dcterms:modified>
</cp:coreProperties>
</file>